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8013"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6DFC1A16" w14:textId="2190763C" w:rsidR="00A77B3E" w:rsidRDefault="00AC2B28">
      <w:pPr>
        <w:spacing w:before="80"/>
        <w:rPr>
          <w:rFonts w:ascii="Calibri" w:eastAsia="Calibri" w:hAnsi="Calibri" w:cs="Calibri"/>
          <w:color w:val="000000"/>
          <w:sz w:val="22"/>
        </w:rPr>
      </w:pPr>
      <w:r>
        <w:rPr>
          <w:rFonts w:ascii="Calibri" w:eastAsia="Calibri" w:hAnsi="Calibri" w:cs="Calibri"/>
          <w:color w:val="000000"/>
          <w:sz w:val="22"/>
        </w:rPr>
        <w:t xml:space="preserve">Welcome to our series, Emerging Data and Trends in HR-Positive, HER2-Negative Breast Cancer. This is episode </w:t>
      </w:r>
      <w:r w:rsidR="006138C1">
        <w:rPr>
          <w:rFonts w:ascii="Calibri" w:eastAsia="Calibri" w:hAnsi="Calibri" w:cs="Calibri"/>
          <w:color w:val="000000"/>
          <w:sz w:val="22"/>
        </w:rPr>
        <w:t xml:space="preserve">1 </w:t>
      </w:r>
      <w:r>
        <w:rPr>
          <w:rFonts w:ascii="Calibri" w:eastAsia="Calibri" w:hAnsi="Calibri" w:cs="Calibri"/>
          <w:color w:val="000000"/>
          <w:sz w:val="22"/>
        </w:rPr>
        <w:t xml:space="preserve">of a </w:t>
      </w:r>
      <w:r w:rsidR="006138C1">
        <w:rPr>
          <w:rFonts w:ascii="Calibri" w:eastAsia="Calibri" w:hAnsi="Calibri" w:cs="Calibri"/>
          <w:color w:val="000000"/>
          <w:sz w:val="22"/>
        </w:rPr>
        <w:t>6</w:t>
      </w:r>
      <w:r>
        <w:rPr>
          <w:rFonts w:ascii="Calibri" w:eastAsia="Calibri" w:hAnsi="Calibri" w:cs="Calibri"/>
          <w:color w:val="000000"/>
          <w:sz w:val="22"/>
        </w:rPr>
        <w:t xml:space="preserve">-part series, and today we'll be discussing long-term analysis of CDK4/6 inhibitors in early breast cancer. Today I have with me </w:t>
      </w:r>
      <w:r w:rsidR="006138C1">
        <w:rPr>
          <w:rFonts w:ascii="Calibri" w:eastAsia="Calibri" w:hAnsi="Calibri" w:cs="Calibri"/>
          <w:color w:val="000000"/>
          <w:sz w:val="22"/>
        </w:rPr>
        <w:t xml:space="preserve">2 </w:t>
      </w:r>
      <w:r>
        <w:rPr>
          <w:rFonts w:ascii="Calibri" w:eastAsia="Calibri" w:hAnsi="Calibri" w:cs="Calibri"/>
          <w:color w:val="000000"/>
          <w:sz w:val="22"/>
        </w:rPr>
        <w:t>expert medical oncologists in breast cancer research and care, Dr. Neil Iyengar from the Winship Cancer Institute of Emory University, and Dr. Seth Wander from the Massachusetts General Hospital in Boston. Thank you so much for being here today.</w:t>
      </w:r>
    </w:p>
    <w:p w14:paraId="7B81BF3D"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Neil Iyengar, MD:</w:t>
      </w:r>
    </w:p>
    <w:p w14:paraId="3B92941A" w14:textId="77777777" w:rsidR="00A77B3E" w:rsidRDefault="00AC2B28">
      <w:pPr>
        <w:spacing w:before="80"/>
        <w:rPr>
          <w:rFonts w:ascii="Calibri" w:eastAsia="Calibri" w:hAnsi="Calibri" w:cs="Calibri"/>
          <w:color w:val="000000"/>
          <w:sz w:val="22"/>
        </w:rPr>
      </w:pPr>
      <w:r>
        <w:rPr>
          <w:rFonts w:ascii="Calibri" w:eastAsia="Calibri" w:hAnsi="Calibri" w:cs="Calibri"/>
          <w:color w:val="000000"/>
          <w:sz w:val="22"/>
        </w:rPr>
        <w:t>Hi, I'm Neil Iyengar. I'm a breast medical oncologist and co-director of the Breast Medical Oncology Program and Director of Cancer Survivorship Services at the Winship Cancer Institute of Emory University in Atlanta, Georgia. It's a pleasure to be here today, and I'm delighted to have this discussion with all of my colleagues here today.</w:t>
      </w:r>
    </w:p>
    <w:p w14:paraId="0148768D"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Seth Wander, MD:</w:t>
      </w:r>
    </w:p>
    <w:p w14:paraId="53F8AF2D" w14:textId="77777777" w:rsidR="00A77B3E" w:rsidRDefault="00AC2B28">
      <w:pPr>
        <w:spacing w:before="80"/>
        <w:rPr>
          <w:rFonts w:ascii="Calibri" w:eastAsia="Calibri" w:hAnsi="Calibri" w:cs="Calibri"/>
          <w:color w:val="000000"/>
          <w:sz w:val="22"/>
        </w:rPr>
      </w:pPr>
      <w:r>
        <w:rPr>
          <w:rFonts w:ascii="Calibri" w:eastAsia="Calibri" w:hAnsi="Calibri" w:cs="Calibri"/>
          <w:color w:val="000000"/>
          <w:sz w:val="22"/>
        </w:rPr>
        <w:t>My name is Seth Wander, and I'm a breast medical oncologist at the Massachusetts General Hospital in Boston. I'm the director of precision medicine and the director of translational research in the breast oncology program. And it's a pleasure to join you today to discuss these important and interesting topics.</w:t>
      </w:r>
    </w:p>
    <w:p w14:paraId="066534C8"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73A69D04" w14:textId="397817AF" w:rsidR="00A77B3E" w:rsidRDefault="00AC2B28" w:rsidP="2630DC6B">
      <w:pPr>
        <w:spacing w:before="80"/>
        <w:rPr>
          <w:rFonts w:ascii="Calibri" w:eastAsia="Calibri" w:hAnsi="Calibri" w:cs="Calibri"/>
          <w:color w:val="000000"/>
          <w:sz w:val="22"/>
          <w:szCs w:val="22"/>
        </w:rPr>
      </w:pPr>
      <w:r w:rsidRPr="2630DC6B">
        <w:rPr>
          <w:rFonts w:ascii="Calibri" w:eastAsia="Calibri" w:hAnsi="Calibri" w:cs="Calibri"/>
          <w:color w:val="000000" w:themeColor="text1"/>
          <w:sz w:val="22"/>
          <w:szCs w:val="22"/>
        </w:rPr>
        <w:t>So we have some exciting things to dive into, so let's get started. Dr. Iyengar, I'm going to have you start us off. Can you provide an overview of the role of CDK4/6 inhibitors in the treatment of early</w:t>
      </w:r>
      <w:r w:rsidR="1CE1D63E" w:rsidRPr="2630DC6B">
        <w:rPr>
          <w:rFonts w:ascii="Calibri" w:eastAsia="Calibri" w:hAnsi="Calibri" w:cs="Calibri"/>
          <w:color w:val="000000" w:themeColor="text1"/>
          <w:sz w:val="22"/>
          <w:szCs w:val="22"/>
        </w:rPr>
        <w:t>-</w:t>
      </w:r>
      <w:r w:rsidRPr="2630DC6B">
        <w:rPr>
          <w:rFonts w:ascii="Calibri" w:eastAsia="Calibri" w:hAnsi="Calibri" w:cs="Calibri"/>
          <w:color w:val="000000" w:themeColor="text1"/>
          <w:sz w:val="22"/>
          <w:szCs w:val="22"/>
        </w:rPr>
        <w:t>stage HR-positive</w:t>
      </w:r>
      <w:r w:rsidR="7767D84E" w:rsidRPr="2630DC6B">
        <w:rPr>
          <w:rFonts w:ascii="Calibri" w:eastAsia="Calibri" w:hAnsi="Calibri" w:cs="Calibri"/>
          <w:color w:val="000000" w:themeColor="text1"/>
          <w:sz w:val="22"/>
          <w:szCs w:val="22"/>
        </w:rPr>
        <w:t>/</w:t>
      </w:r>
      <w:r w:rsidRPr="2630DC6B">
        <w:rPr>
          <w:rFonts w:ascii="Calibri" w:eastAsia="Calibri" w:hAnsi="Calibri" w:cs="Calibri"/>
          <w:color w:val="000000" w:themeColor="text1"/>
          <w:sz w:val="22"/>
          <w:szCs w:val="22"/>
        </w:rPr>
        <w:t>HER2-negative breast cancer?</w:t>
      </w:r>
    </w:p>
    <w:p w14:paraId="59E2A3C7"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Neil Iyengar, MD:</w:t>
      </w:r>
    </w:p>
    <w:p w14:paraId="66B1F6E9" w14:textId="5A35BA1F"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 xml:space="preserve">Absolutely. </w:t>
      </w:r>
      <w:proofErr w:type="gramStart"/>
      <w:r w:rsidRPr="19B2750F">
        <w:rPr>
          <w:rFonts w:ascii="Calibri" w:eastAsia="Calibri" w:hAnsi="Calibri" w:cs="Calibri"/>
          <w:color w:val="000000" w:themeColor="text1"/>
          <w:sz w:val="22"/>
          <w:szCs w:val="22"/>
        </w:rPr>
        <w:t>So</w:t>
      </w:r>
      <w:proofErr w:type="gramEnd"/>
      <w:r w:rsidRPr="19B2750F">
        <w:rPr>
          <w:rFonts w:ascii="Calibri" w:eastAsia="Calibri" w:hAnsi="Calibri" w:cs="Calibri"/>
          <w:color w:val="000000" w:themeColor="text1"/>
          <w:sz w:val="22"/>
          <w:szCs w:val="22"/>
        </w:rPr>
        <w:t xml:space="preserve"> we now have </w:t>
      </w:r>
      <w:r w:rsidR="00813C8A">
        <w:rPr>
          <w:rFonts w:ascii="Calibri" w:eastAsia="Calibri" w:hAnsi="Calibri" w:cs="Calibri"/>
          <w:color w:val="000000" w:themeColor="text1"/>
          <w:sz w:val="22"/>
          <w:szCs w:val="22"/>
        </w:rPr>
        <w:t>2</w:t>
      </w:r>
      <w:r w:rsidR="00813C8A" w:rsidRPr="19B2750F">
        <w:rPr>
          <w:rFonts w:ascii="Calibri" w:eastAsia="Calibri" w:hAnsi="Calibri" w:cs="Calibri"/>
          <w:color w:val="000000" w:themeColor="text1"/>
          <w:sz w:val="22"/>
          <w:szCs w:val="22"/>
        </w:rPr>
        <w:t xml:space="preserve"> </w:t>
      </w:r>
      <w:r w:rsidRPr="19B2750F">
        <w:rPr>
          <w:rFonts w:ascii="Calibri" w:eastAsia="Calibri" w:hAnsi="Calibri" w:cs="Calibri"/>
          <w:color w:val="000000" w:themeColor="text1"/>
          <w:sz w:val="22"/>
          <w:szCs w:val="22"/>
        </w:rPr>
        <w:t>FDA</w:t>
      </w:r>
      <w:r w:rsidR="00813C8A">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approved CDK4/6 inhibitors for our patients with hormone receptor</w:t>
      </w:r>
      <w:r w:rsidR="504F9CD8" w:rsidRPr="19B2750F">
        <w:rPr>
          <w:sz w:val="22"/>
          <w:szCs w:val="22"/>
        </w:rPr>
        <w:t>–</w:t>
      </w:r>
      <w:r w:rsidRPr="19B2750F">
        <w:rPr>
          <w:rFonts w:ascii="Calibri" w:eastAsia="Calibri" w:hAnsi="Calibri" w:cs="Calibri"/>
          <w:color w:val="000000" w:themeColor="text1"/>
          <w:sz w:val="22"/>
          <w:szCs w:val="22"/>
        </w:rPr>
        <w:t>positive</w:t>
      </w:r>
      <w:r w:rsidR="22C61341"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HER2-negative early</w:t>
      </w:r>
      <w:r w:rsidR="4F9E2E61"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stage breast cancer. CDK4/6 inhibition when added to endocrine therapy substantially helps to reduce recurrence risk. And although the data are early, we are starting to see a signal that breast cancer-specific mortality and even overall survival is improved with the addition of CDK4/6 inhibition.</w:t>
      </w:r>
    </w:p>
    <w:p w14:paraId="545A3EE1"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252B2FB5" w14:textId="4B3AC87A" w:rsidR="00A77B3E" w:rsidRDefault="00AC2B28">
      <w:pPr>
        <w:spacing w:before="80"/>
        <w:rPr>
          <w:rFonts w:ascii="Calibri" w:eastAsia="Calibri" w:hAnsi="Calibri" w:cs="Calibri"/>
          <w:color w:val="000000"/>
          <w:sz w:val="22"/>
        </w:rPr>
      </w:pPr>
      <w:r>
        <w:rPr>
          <w:rFonts w:ascii="Calibri" w:eastAsia="Calibri" w:hAnsi="Calibri" w:cs="Calibri"/>
          <w:color w:val="000000"/>
          <w:sz w:val="22"/>
        </w:rPr>
        <w:t>Thank you so much. And you did mention that there's some long-term data looking at the ability of CDK4/6 inhibitors to improve outcomes. Before we dive into that, it would be great if you could give us an overview of the study design of the monarchE trial</w:t>
      </w:r>
      <w:r w:rsidR="00CA6869">
        <w:rPr>
          <w:rFonts w:ascii="Calibri" w:eastAsia="Calibri" w:hAnsi="Calibri" w:cs="Calibri"/>
          <w:color w:val="000000"/>
          <w:sz w:val="22"/>
        </w:rPr>
        <w:t>,</w:t>
      </w:r>
      <w:r>
        <w:rPr>
          <w:rFonts w:ascii="Calibri" w:eastAsia="Calibri" w:hAnsi="Calibri" w:cs="Calibri"/>
          <w:color w:val="000000"/>
          <w:sz w:val="22"/>
        </w:rPr>
        <w:t xml:space="preserve"> and some of the unique features of the patients that were enrolled in that trial.</w:t>
      </w:r>
    </w:p>
    <w:p w14:paraId="04D1F0CC"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Neil Iyengar, MD:</w:t>
      </w:r>
    </w:p>
    <w:p w14:paraId="050F84E0" w14:textId="5A3218BE"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Absolutely. So monarchE was, of course, the phase</w:t>
      </w:r>
      <w:r w:rsidR="48378380" w:rsidRPr="19B2750F">
        <w:rPr>
          <w:rFonts w:ascii="Calibri" w:eastAsia="Calibri" w:hAnsi="Calibri" w:cs="Calibri"/>
          <w:color w:val="000000" w:themeColor="text1"/>
          <w:sz w:val="22"/>
          <w:szCs w:val="22"/>
        </w:rPr>
        <w:t xml:space="preserve"> 3</w:t>
      </w:r>
      <w:r w:rsidRPr="19B2750F">
        <w:rPr>
          <w:rFonts w:ascii="Calibri" w:eastAsia="Calibri" w:hAnsi="Calibri" w:cs="Calibri"/>
          <w:color w:val="000000" w:themeColor="text1"/>
          <w:sz w:val="22"/>
          <w:szCs w:val="22"/>
        </w:rPr>
        <w:t xml:space="preserve"> randomized control trial. This was an open</w:t>
      </w:r>
      <w:r w:rsidR="3AF7249F"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label trial that ultimately led to the FDA registration of abemaciclib in the adjuvant setting. Now, it is important that we take a look at the trial design and eligibility criteria because this really guides us in terms of which of our patients we offer this treatment strategy towards. </w:t>
      </w:r>
      <w:proofErr w:type="gramStart"/>
      <w:r w:rsidRPr="19B2750F">
        <w:rPr>
          <w:rFonts w:ascii="Calibri" w:eastAsia="Calibri" w:hAnsi="Calibri" w:cs="Calibri"/>
          <w:color w:val="000000" w:themeColor="text1"/>
          <w:sz w:val="22"/>
          <w:szCs w:val="22"/>
        </w:rPr>
        <w:t>So</w:t>
      </w:r>
      <w:proofErr w:type="gramEnd"/>
      <w:r w:rsidRPr="19B2750F">
        <w:rPr>
          <w:rFonts w:ascii="Calibri" w:eastAsia="Calibri" w:hAnsi="Calibri" w:cs="Calibri"/>
          <w:color w:val="000000" w:themeColor="text1"/>
          <w:sz w:val="22"/>
          <w:szCs w:val="22"/>
        </w:rPr>
        <w:t xml:space="preserve"> we know, of course, that this is hormone receptor</w:t>
      </w:r>
      <w:r w:rsidR="2E10631D" w:rsidRPr="19B2750F">
        <w:rPr>
          <w:sz w:val="22"/>
          <w:szCs w:val="22"/>
        </w:rPr>
        <w:t>–</w:t>
      </w:r>
      <w:r w:rsidRPr="19B2750F">
        <w:rPr>
          <w:rFonts w:ascii="Calibri" w:eastAsia="Calibri" w:hAnsi="Calibri" w:cs="Calibri"/>
          <w:color w:val="000000" w:themeColor="text1"/>
          <w:sz w:val="22"/>
          <w:szCs w:val="22"/>
        </w:rPr>
        <w:t>positive</w:t>
      </w:r>
      <w:r w:rsidR="00CA6869">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HER2-negative high-risk early-stage breast cancer. And I'll get into the definitions of high-risk that were used for the trial, but I do want to point out here that patients had, of course, no evidence of metastatic disease, and patients could be up to a maximum of 16 months from </w:t>
      </w:r>
      <w:r w:rsidRPr="19B2750F">
        <w:rPr>
          <w:rFonts w:ascii="Calibri" w:eastAsia="Calibri" w:hAnsi="Calibri" w:cs="Calibri"/>
          <w:color w:val="000000" w:themeColor="text1"/>
          <w:sz w:val="22"/>
          <w:szCs w:val="22"/>
        </w:rPr>
        <w:lastRenderedPageBreak/>
        <w:t xml:space="preserve">their breast surgery to randomizations. But also important to note that patients had to be within 12 weeks of starting endocrine therapy. There were also </w:t>
      </w:r>
      <w:r w:rsidR="3D41B58D" w:rsidRPr="19B2750F">
        <w:rPr>
          <w:rFonts w:ascii="Calibri" w:eastAsia="Calibri" w:hAnsi="Calibri" w:cs="Calibri"/>
          <w:color w:val="000000" w:themeColor="text1"/>
          <w:sz w:val="22"/>
          <w:szCs w:val="22"/>
        </w:rPr>
        <w:t>2</w:t>
      </w:r>
      <w:r w:rsidRPr="19B2750F">
        <w:rPr>
          <w:rFonts w:ascii="Calibri" w:eastAsia="Calibri" w:hAnsi="Calibri" w:cs="Calibri"/>
          <w:color w:val="000000" w:themeColor="text1"/>
          <w:sz w:val="22"/>
          <w:szCs w:val="22"/>
        </w:rPr>
        <w:t xml:space="preserve"> cohorts on the monarchE trial.</w:t>
      </w:r>
    </w:p>
    <w:p w14:paraId="3F6932C8" w14:textId="4EEC16ED"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We'll really focus on the first cohort where 91% of patients were enrolled, and those were patients who were deemed to have high-risk disease, either based on</w:t>
      </w:r>
      <w:r w:rsidR="0CEBEBA7"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or predominantly based on</w:t>
      </w:r>
      <w:r w:rsidR="6A7711AA"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clinical pathologic features. </w:t>
      </w:r>
      <w:proofErr w:type="gramStart"/>
      <w:r w:rsidRPr="19B2750F">
        <w:rPr>
          <w:rFonts w:ascii="Calibri" w:eastAsia="Calibri" w:hAnsi="Calibri" w:cs="Calibri"/>
          <w:color w:val="000000" w:themeColor="text1"/>
          <w:sz w:val="22"/>
          <w:szCs w:val="22"/>
        </w:rPr>
        <w:t>So</w:t>
      </w:r>
      <w:proofErr w:type="gramEnd"/>
      <w:r w:rsidRPr="19B2750F">
        <w:rPr>
          <w:rFonts w:ascii="Calibri" w:eastAsia="Calibri" w:hAnsi="Calibri" w:cs="Calibri"/>
          <w:color w:val="000000" w:themeColor="text1"/>
          <w:sz w:val="22"/>
          <w:szCs w:val="22"/>
        </w:rPr>
        <w:t xml:space="preserve"> this could have been having </w:t>
      </w:r>
      <w:r w:rsidR="68F719C1" w:rsidRPr="19B2750F">
        <w:rPr>
          <w:rFonts w:ascii="Calibri" w:eastAsia="Calibri" w:hAnsi="Calibri" w:cs="Calibri"/>
          <w:color w:val="000000" w:themeColor="text1"/>
          <w:sz w:val="22"/>
          <w:szCs w:val="22"/>
        </w:rPr>
        <w:t>4</w:t>
      </w:r>
      <w:r w:rsidRPr="19B2750F">
        <w:rPr>
          <w:rFonts w:ascii="Calibri" w:eastAsia="Calibri" w:hAnsi="Calibri" w:cs="Calibri"/>
          <w:color w:val="000000" w:themeColor="text1"/>
          <w:sz w:val="22"/>
          <w:szCs w:val="22"/>
        </w:rPr>
        <w:t xml:space="preserve"> or more axillary lymph nodes involved</w:t>
      </w:r>
      <w:r w:rsidR="0E4D6C5C" w:rsidRPr="19B2750F">
        <w:rPr>
          <w:rFonts w:ascii="Calibri" w:eastAsia="Calibri" w:hAnsi="Calibri" w:cs="Calibri"/>
          <w:color w:val="000000" w:themeColor="text1"/>
          <w:sz w:val="22"/>
          <w:szCs w:val="22"/>
        </w:rPr>
        <w:t xml:space="preserve">; </w:t>
      </w:r>
      <w:r w:rsidRPr="19B2750F">
        <w:rPr>
          <w:rFonts w:ascii="Calibri" w:eastAsia="Calibri" w:hAnsi="Calibri" w:cs="Calibri"/>
          <w:color w:val="000000" w:themeColor="text1"/>
          <w:sz w:val="22"/>
          <w:szCs w:val="22"/>
        </w:rPr>
        <w:t xml:space="preserve">that would've automatically qualified a patient, or patients could have had </w:t>
      </w:r>
      <w:r w:rsidR="4477871A" w:rsidRPr="19B2750F">
        <w:rPr>
          <w:rFonts w:ascii="Calibri" w:eastAsia="Calibri" w:hAnsi="Calibri" w:cs="Calibri"/>
          <w:color w:val="000000" w:themeColor="text1"/>
          <w:sz w:val="22"/>
          <w:szCs w:val="22"/>
        </w:rPr>
        <w:t>1</w:t>
      </w:r>
      <w:r w:rsidRPr="19B2750F">
        <w:rPr>
          <w:rFonts w:ascii="Calibri" w:eastAsia="Calibri" w:hAnsi="Calibri" w:cs="Calibri"/>
          <w:color w:val="000000" w:themeColor="text1"/>
          <w:sz w:val="22"/>
          <w:szCs w:val="22"/>
        </w:rPr>
        <w:t xml:space="preserve"> to </w:t>
      </w:r>
      <w:r w:rsidR="28A6928B" w:rsidRPr="19B2750F">
        <w:rPr>
          <w:rFonts w:ascii="Calibri" w:eastAsia="Calibri" w:hAnsi="Calibri" w:cs="Calibri"/>
          <w:color w:val="000000" w:themeColor="text1"/>
          <w:sz w:val="22"/>
          <w:szCs w:val="22"/>
        </w:rPr>
        <w:t>3</w:t>
      </w:r>
      <w:r w:rsidRPr="19B2750F">
        <w:rPr>
          <w:rFonts w:ascii="Calibri" w:eastAsia="Calibri" w:hAnsi="Calibri" w:cs="Calibri"/>
          <w:color w:val="000000" w:themeColor="text1"/>
          <w:sz w:val="22"/>
          <w:szCs w:val="22"/>
        </w:rPr>
        <w:t xml:space="preserve"> positive axillary lymph nodes if they also had grade </w:t>
      </w:r>
      <w:r w:rsidR="000F3CCF">
        <w:rPr>
          <w:rFonts w:ascii="Calibri" w:eastAsia="Calibri" w:hAnsi="Calibri" w:cs="Calibri"/>
          <w:color w:val="000000" w:themeColor="text1"/>
          <w:sz w:val="22"/>
          <w:szCs w:val="22"/>
        </w:rPr>
        <w:t>3</w:t>
      </w:r>
      <w:r w:rsidR="000F3CCF" w:rsidRPr="19B2750F">
        <w:rPr>
          <w:rFonts w:ascii="Calibri" w:eastAsia="Calibri" w:hAnsi="Calibri" w:cs="Calibri"/>
          <w:color w:val="000000" w:themeColor="text1"/>
          <w:sz w:val="22"/>
          <w:szCs w:val="22"/>
        </w:rPr>
        <w:t xml:space="preserve"> </w:t>
      </w:r>
      <w:r w:rsidRPr="19B2750F">
        <w:rPr>
          <w:rFonts w:ascii="Calibri" w:eastAsia="Calibri" w:hAnsi="Calibri" w:cs="Calibri"/>
          <w:color w:val="000000" w:themeColor="text1"/>
          <w:sz w:val="22"/>
          <w:szCs w:val="22"/>
        </w:rPr>
        <w:t xml:space="preserve">disease or a tumor size that was </w:t>
      </w:r>
      <w:r w:rsidR="3CB4F0CD" w:rsidRPr="19B2750F">
        <w:rPr>
          <w:rFonts w:ascii="Calibri" w:eastAsia="Calibri" w:hAnsi="Calibri" w:cs="Calibri"/>
          <w:color w:val="000000" w:themeColor="text1"/>
          <w:sz w:val="22"/>
          <w:szCs w:val="22"/>
        </w:rPr>
        <w:t>5</w:t>
      </w:r>
      <w:r w:rsidRPr="19B2750F">
        <w:rPr>
          <w:rFonts w:ascii="Calibri" w:eastAsia="Calibri" w:hAnsi="Calibri" w:cs="Calibri"/>
          <w:color w:val="000000" w:themeColor="text1"/>
          <w:sz w:val="22"/>
          <w:szCs w:val="22"/>
        </w:rPr>
        <w:t xml:space="preserve"> centimeters or larger. Now, there was a second cohort, and in this cohort, it was essentially deemed high</w:t>
      </w:r>
      <w:r w:rsidR="5F8BDEBE"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risk disease based on Ki-67 score. So in this cohort, patients could have </w:t>
      </w:r>
      <w:r w:rsidR="68AF5911" w:rsidRPr="19B2750F">
        <w:rPr>
          <w:rFonts w:ascii="Calibri" w:eastAsia="Calibri" w:hAnsi="Calibri" w:cs="Calibri"/>
          <w:color w:val="000000" w:themeColor="text1"/>
          <w:sz w:val="22"/>
          <w:szCs w:val="22"/>
        </w:rPr>
        <w:t>1</w:t>
      </w:r>
      <w:r w:rsidRPr="19B2750F">
        <w:rPr>
          <w:rFonts w:ascii="Calibri" w:eastAsia="Calibri" w:hAnsi="Calibri" w:cs="Calibri"/>
          <w:color w:val="000000" w:themeColor="text1"/>
          <w:sz w:val="22"/>
          <w:szCs w:val="22"/>
        </w:rPr>
        <w:t xml:space="preserve"> to </w:t>
      </w:r>
      <w:r w:rsidR="79394175" w:rsidRPr="19B2750F">
        <w:rPr>
          <w:rFonts w:ascii="Calibri" w:eastAsia="Calibri" w:hAnsi="Calibri" w:cs="Calibri"/>
          <w:color w:val="000000" w:themeColor="text1"/>
          <w:sz w:val="22"/>
          <w:szCs w:val="22"/>
        </w:rPr>
        <w:t>3</w:t>
      </w:r>
      <w:r w:rsidRPr="19B2750F">
        <w:rPr>
          <w:rFonts w:ascii="Calibri" w:eastAsia="Calibri" w:hAnsi="Calibri" w:cs="Calibri"/>
          <w:color w:val="000000" w:themeColor="text1"/>
          <w:sz w:val="22"/>
          <w:szCs w:val="22"/>
        </w:rPr>
        <w:t xml:space="preserve"> positive axillary lymph nodes. They could have had a tumor size less than </w:t>
      </w:r>
      <w:r w:rsidR="251A2762" w:rsidRPr="19B2750F">
        <w:rPr>
          <w:rFonts w:ascii="Calibri" w:eastAsia="Calibri" w:hAnsi="Calibri" w:cs="Calibri"/>
          <w:color w:val="000000" w:themeColor="text1"/>
          <w:sz w:val="22"/>
          <w:szCs w:val="22"/>
        </w:rPr>
        <w:t>5</w:t>
      </w:r>
      <w:r w:rsidRPr="19B2750F">
        <w:rPr>
          <w:rFonts w:ascii="Calibri" w:eastAsia="Calibri" w:hAnsi="Calibri" w:cs="Calibri"/>
          <w:color w:val="000000" w:themeColor="text1"/>
          <w:sz w:val="22"/>
          <w:szCs w:val="22"/>
        </w:rPr>
        <w:t xml:space="preserve"> centimeters or a grade less than </w:t>
      </w:r>
      <w:r w:rsidR="021278C4" w:rsidRPr="19B2750F">
        <w:rPr>
          <w:rFonts w:ascii="Calibri" w:eastAsia="Calibri" w:hAnsi="Calibri" w:cs="Calibri"/>
          <w:color w:val="000000" w:themeColor="text1"/>
          <w:sz w:val="22"/>
          <w:szCs w:val="22"/>
        </w:rPr>
        <w:t>3</w:t>
      </w:r>
      <w:r w:rsidRPr="19B2750F">
        <w:rPr>
          <w:rFonts w:ascii="Calibri" w:eastAsia="Calibri" w:hAnsi="Calibri" w:cs="Calibri"/>
          <w:color w:val="000000" w:themeColor="text1"/>
          <w:sz w:val="22"/>
          <w:szCs w:val="22"/>
        </w:rPr>
        <w:t xml:space="preserve">, as long as the Ki-67 was 20% or greater. So we'll really focus on that cohort </w:t>
      </w:r>
      <w:r w:rsidR="08CC9B41" w:rsidRPr="19B2750F">
        <w:rPr>
          <w:rFonts w:ascii="Calibri" w:eastAsia="Calibri" w:hAnsi="Calibri" w:cs="Calibri"/>
          <w:color w:val="000000" w:themeColor="text1"/>
          <w:sz w:val="22"/>
          <w:szCs w:val="22"/>
        </w:rPr>
        <w:t>1</w:t>
      </w:r>
      <w:r w:rsidRPr="19B2750F">
        <w:rPr>
          <w:rFonts w:ascii="Calibri" w:eastAsia="Calibri" w:hAnsi="Calibri" w:cs="Calibri"/>
          <w:color w:val="000000" w:themeColor="text1"/>
          <w:sz w:val="22"/>
          <w:szCs w:val="22"/>
        </w:rPr>
        <w:t>, which is high</w:t>
      </w:r>
      <w:r w:rsidR="34A9F7DA"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risk based on anatomic and pathologic features.</w:t>
      </w:r>
    </w:p>
    <w:p w14:paraId="41CDFF58" w14:textId="34AF8A88"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 xml:space="preserve">Patients were then randomized in a </w:t>
      </w:r>
      <w:r w:rsidR="312456F5" w:rsidRPr="19B2750F">
        <w:rPr>
          <w:rFonts w:ascii="Calibri" w:eastAsia="Calibri" w:hAnsi="Calibri" w:cs="Calibri"/>
          <w:color w:val="000000" w:themeColor="text1"/>
          <w:sz w:val="22"/>
          <w:szCs w:val="22"/>
        </w:rPr>
        <w:t>1</w:t>
      </w:r>
      <w:r w:rsidRPr="19B2750F">
        <w:rPr>
          <w:rFonts w:ascii="Calibri" w:eastAsia="Calibri" w:hAnsi="Calibri" w:cs="Calibri"/>
          <w:color w:val="000000" w:themeColor="text1"/>
          <w:sz w:val="22"/>
          <w:szCs w:val="22"/>
        </w:rPr>
        <w:t>-to-</w:t>
      </w:r>
      <w:r w:rsidR="743561CD" w:rsidRPr="19B2750F">
        <w:rPr>
          <w:rFonts w:ascii="Calibri" w:eastAsia="Calibri" w:hAnsi="Calibri" w:cs="Calibri"/>
          <w:color w:val="000000" w:themeColor="text1"/>
          <w:sz w:val="22"/>
          <w:szCs w:val="22"/>
        </w:rPr>
        <w:t>1</w:t>
      </w:r>
      <w:r w:rsidRPr="19B2750F">
        <w:rPr>
          <w:rFonts w:ascii="Calibri" w:eastAsia="Calibri" w:hAnsi="Calibri" w:cs="Calibri"/>
          <w:color w:val="000000" w:themeColor="text1"/>
          <w:sz w:val="22"/>
          <w:szCs w:val="22"/>
        </w:rPr>
        <w:t xml:space="preserve"> fashion, and it was over 5,000 patients that were randomized to receive endocrine-based therapy. And this was essentially either an aromatase inhibitor or tamoxifen per the treating physician's discretion, and this could have been with or without a G</w:t>
      </w:r>
      <w:r w:rsidR="00905484" w:rsidRPr="19B2750F">
        <w:rPr>
          <w:rFonts w:ascii="Calibri" w:eastAsia="Calibri" w:hAnsi="Calibri" w:cs="Calibri"/>
          <w:color w:val="000000" w:themeColor="text1"/>
          <w:sz w:val="22"/>
          <w:szCs w:val="22"/>
        </w:rPr>
        <w:t>n</w:t>
      </w:r>
      <w:r w:rsidRPr="19B2750F">
        <w:rPr>
          <w:rFonts w:ascii="Calibri" w:eastAsia="Calibri" w:hAnsi="Calibri" w:cs="Calibri"/>
          <w:color w:val="000000" w:themeColor="text1"/>
          <w:sz w:val="22"/>
          <w:szCs w:val="22"/>
        </w:rPr>
        <w:t xml:space="preserve">RH agonist. This was the control arm. And the experimental arm was the combination of that endocrine therapy with abemaciclib dosed in the same way we use it in the metastatic setting, 150 milligrams twice a day on a continuous schedule. The other key part is that patients were on study treatment for </w:t>
      </w:r>
      <w:r w:rsidR="201C6341" w:rsidRPr="19B2750F">
        <w:rPr>
          <w:rFonts w:ascii="Calibri" w:eastAsia="Calibri" w:hAnsi="Calibri" w:cs="Calibri"/>
          <w:color w:val="000000" w:themeColor="text1"/>
          <w:sz w:val="22"/>
          <w:szCs w:val="22"/>
        </w:rPr>
        <w:t>2</w:t>
      </w:r>
      <w:r w:rsidRPr="19B2750F">
        <w:rPr>
          <w:rFonts w:ascii="Calibri" w:eastAsia="Calibri" w:hAnsi="Calibri" w:cs="Calibri"/>
          <w:color w:val="000000" w:themeColor="text1"/>
          <w:sz w:val="22"/>
          <w:szCs w:val="22"/>
        </w:rPr>
        <w:t xml:space="preserve"> years. The follow-up period was </w:t>
      </w:r>
      <w:r w:rsidR="076ACA5B" w:rsidRPr="19B2750F">
        <w:rPr>
          <w:rFonts w:ascii="Calibri" w:eastAsia="Calibri" w:hAnsi="Calibri" w:cs="Calibri"/>
          <w:color w:val="000000" w:themeColor="text1"/>
          <w:sz w:val="22"/>
          <w:szCs w:val="22"/>
        </w:rPr>
        <w:t>3</w:t>
      </w:r>
      <w:r w:rsidRPr="19B2750F">
        <w:rPr>
          <w:rFonts w:ascii="Calibri" w:eastAsia="Calibri" w:hAnsi="Calibri" w:cs="Calibri"/>
          <w:color w:val="000000" w:themeColor="text1"/>
          <w:sz w:val="22"/>
          <w:szCs w:val="22"/>
        </w:rPr>
        <w:t xml:space="preserve"> to </w:t>
      </w:r>
      <w:r w:rsidR="410013B7" w:rsidRPr="19B2750F">
        <w:rPr>
          <w:rFonts w:ascii="Calibri" w:eastAsia="Calibri" w:hAnsi="Calibri" w:cs="Calibri"/>
          <w:color w:val="000000" w:themeColor="text1"/>
          <w:sz w:val="22"/>
          <w:szCs w:val="22"/>
        </w:rPr>
        <w:t>8</w:t>
      </w:r>
      <w:r w:rsidRPr="19B2750F">
        <w:rPr>
          <w:rFonts w:ascii="Calibri" w:eastAsia="Calibri" w:hAnsi="Calibri" w:cs="Calibri"/>
          <w:color w:val="000000" w:themeColor="text1"/>
          <w:sz w:val="22"/>
          <w:szCs w:val="22"/>
        </w:rPr>
        <w:t xml:space="preserve"> years, but </w:t>
      </w:r>
      <w:proofErr w:type="gramStart"/>
      <w:r w:rsidRPr="19B2750F">
        <w:rPr>
          <w:rFonts w:ascii="Calibri" w:eastAsia="Calibri" w:hAnsi="Calibri" w:cs="Calibri"/>
          <w:color w:val="000000" w:themeColor="text1"/>
          <w:sz w:val="22"/>
          <w:szCs w:val="22"/>
        </w:rPr>
        <w:t>that</w:t>
      </w:r>
      <w:proofErr w:type="gramEnd"/>
      <w:r w:rsidRPr="19B2750F">
        <w:rPr>
          <w:rFonts w:ascii="Calibri" w:eastAsia="Calibri" w:hAnsi="Calibri" w:cs="Calibri"/>
          <w:color w:val="000000" w:themeColor="text1"/>
          <w:sz w:val="22"/>
          <w:szCs w:val="22"/>
        </w:rPr>
        <w:t xml:space="preserve"> duration of CDK4/6 inhibition in the </w:t>
      </w:r>
      <w:proofErr w:type="spellStart"/>
      <w:r w:rsidRPr="19B2750F">
        <w:rPr>
          <w:rFonts w:ascii="Calibri" w:eastAsia="Calibri" w:hAnsi="Calibri" w:cs="Calibri"/>
          <w:color w:val="000000" w:themeColor="text1"/>
          <w:sz w:val="22"/>
          <w:szCs w:val="22"/>
        </w:rPr>
        <w:t>monarchE</w:t>
      </w:r>
      <w:proofErr w:type="spellEnd"/>
      <w:r w:rsidRPr="19B2750F">
        <w:rPr>
          <w:rFonts w:ascii="Calibri" w:eastAsia="Calibri" w:hAnsi="Calibri" w:cs="Calibri"/>
          <w:color w:val="000000" w:themeColor="text1"/>
          <w:sz w:val="22"/>
          <w:szCs w:val="22"/>
        </w:rPr>
        <w:t xml:space="preserve"> trial was </w:t>
      </w:r>
      <w:r w:rsidR="6B448DD2" w:rsidRPr="19B2750F">
        <w:rPr>
          <w:rFonts w:ascii="Calibri" w:eastAsia="Calibri" w:hAnsi="Calibri" w:cs="Calibri"/>
          <w:color w:val="000000" w:themeColor="text1"/>
          <w:sz w:val="22"/>
          <w:szCs w:val="22"/>
        </w:rPr>
        <w:t>2</w:t>
      </w:r>
      <w:r w:rsidRPr="19B2750F">
        <w:rPr>
          <w:rFonts w:ascii="Calibri" w:eastAsia="Calibri" w:hAnsi="Calibri" w:cs="Calibri"/>
          <w:color w:val="000000" w:themeColor="text1"/>
          <w:sz w:val="22"/>
          <w:szCs w:val="22"/>
        </w:rPr>
        <w:t xml:space="preserve"> years. But these are really the key features to keep in mind, especially the risk stratification for patients that were included in monarchE.</w:t>
      </w:r>
    </w:p>
    <w:p w14:paraId="16C9A0E6"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502E476F" w14:textId="28FE77C4" w:rsidR="00A77B3E" w:rsidRDefault="00AC2B28">
      <w:pPr>
        <w:spacing w:before="80"/>
        <w:rPr>
          <w:rFonts w:ascii="Calibri" w:eastAsia="Calibri" w:hAnsi="Calibri" w:cs="Calibri"/>
          <w:color w:val="000000"/>
          <w:sz w:val="22"/>
        </w:rPr>
      </w:pPr>
      <w:r>
        <w:rPr>
          <w:rFonts w:ascii="Calibri" w:eastAsia="Calibri" w:hAnsi="Calibri" w:cs="Calibri"/>
          <w:color w:val="000000"/>
          <w:sz w:val="22"/>
        </w:rPr>
        <w:t xml:space="preserve">So we actually saw at ESMO 2025 some of the anticipated results for </w:t>
      </w:r>
      <w:r w:rsidR="00A158DD">
        <w:rPr>
          <w:rFonts w:ascii="Calibri" w:eastAsia="Calibri" w:hAnsi="Calibri" w:cs="Calibri"/>
          <w:color w:val="000000"/>
          <w:sz w:val="22"/>
        </w:rPr>
        <w:t xml:space="preserve">the </w:t>
      </w:r>
      <w:r>
        <w:rPr>
          <w:rFonts w:ascii="Calibri" w:eastAsia="Calibri" w:hAnsi="Calibri" w:cs="Calibri"/>
          <w:color w:val="000000"/>
          <w:sz w:val="22"/>
        </w:rPr>
        <w:t>primary over</w:t>
      </w:r>
      <w:r w:rsidR="00905484">
        <w:rPr>
          <w:rFonts w:ascii="Calibri" w:eastAsia="Calibri" w:hAnsi="Calibri" w:cs="Calibri"/>
          <w:color w:val="000000"/>
          <w:sz w:val="22"/>
        </w:rPr>
        <w:t>all</w:t>
      </w:r>
      <w:r w:rsidR="00A158DD">
        <w:rPr>
          <w:rFonts w:ascii="Calibri" w:eastAsia="Calibri" w:hAnsi="Calibri" w:cs="Calibri"/>
          <w:color w:val="000000"/>
          <w:sz w:val="22"/>
        </w:rPr>
        <w:t xml:space="preserve"> survival</w:t>
      </w:r>
      <w:r>
        <w:rPr>
          <w:rFonts w:ascii="Calibri" w:eastAsia="Calibri" w:hAnsi="Calibri" w:cs="Calibri"/>
          <w:color w:val="000000"/>
          <w:sz w:val="22"/>
        </w:rPr>
        <w:t xml:space="preserve"> analysis of monarchE. Dr. Iyengar, could you summarize some of these findings and give some of your thoughts on their potential impact?</w:t>
      </w:r>
    </w:p>
    <w:p w14:paraId="1A7749CA"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Neil Iyengar, MD:</w:t>
      </w:r>
    </w:p>
    <w:p w14:paraId="6D568367" w14:textId="5F468078"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So</w:t>
      </w:r>
      <w:r w:rsidR="2EA39A10"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monarchE met the primary efficacy endpoint, which was invasive disease-free survival. And we saw an updated analysis or updated results of the monarchE trial at ESMO this year, 2025, where we saw updated IDFS and also overall survival with a median follow-up time of 76 months. </w:t>
      </w:r>
      <w:proofErr w:type="gramStart"/>
      <w:r w:rsidRPr="19B2750F">
        <w:rPr>
          <w:rFonts w:ascii="Calibri" w:eastAsia="Calibri" w:hAnsi="Calibri" w:cs="Calibri"/>
          <w:color w:val="000000" w:themeColor="text1"/>
          <w:sz w:val="22"/>
          <w:szCs w:val="22"/>
        </w:rPr>
        <w:t>So</w:t>
      </w:r>
      <w:proofErr w:type="gramEnd"/>
      <w:r w:rsidRPr="19B2750F">
        <w:rPr>
          <w:rFonts w:ascii="Calibri" w:eastAsia="Calibri" w:hAnsi="Calibri" w:cs="Calibri"/>
          <w:color w:val="000000" w:themeColor="text1"/>
          <w:sz w:val="22"/>
          <w:szCs w:val="22"/>
        </w:rPr>
        <w:t xml:space="preserve"> the </w:t>
      </w:r>
      <w:r w:rsidR="3A804773" w:rsidRPr="19B2750F">
        <w:rPr>
          <w:rFonts w:ascii="Calibri" w:eastAsia="Calibri" w:hAnsi="Calibri" w:cs="Calibri"/>
          <w:color w:val="000000" w:themeColor="text1"/>
          <w:sz w:val="22"/>
          <w:szCs w:val="22"/>
        </w:rPr>
        <w:t>7</w:t>
      </w:r>
      <w:r w:rsidRPr="19B2750F">
        <w:rPr>
          <w:rFonts w:ascii="Calibri" w:eastAsia="Calibri" w:hAnsi="Calibri" w:cs="Calibri"/>
          <w:color w:val="000000" w:themeColor="text1"/>
          <w:sz w:val="22"/>
          <w:szCs w:val="22"/>
        </w:rPr>
        <w:t xml:space="preserve">-year IDFS rate in the abemaciclib-containing arm was 77.4%. In the endocrine </w:t>
      </w:r>
      <w:proofErr w:type="gramStart"/>
      <w:r w:rsidRPr="19B2750F">
        <w:rPr>
          <w:rFonts w:ascii="Calibri" w:eastAsia="Calibri" w:hAnsi="Calibri" w:cs="Calibri"/>
          <w:color w:val="000000" w:themeColor="text1"/>
          <w:sz w:val="22"/>
          <w:szCs w:val="22"/>
        </w:rPr>
        <w:t>therapy</w:t>
      </w:r>
      <w:r w:rsidR="00237A7E">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alone</w:t>
      </w:r>
      <w:proofErr w:type="gramEnd"/>
      <w:r w:rsidRPr="19B2750F">
        <w:rPr>
          <w:rFonts w:ascii="Calibri" w:eastAsia="Calibri" w:hAnsi="Calibri" w:cs="Calibri"/>
          <w:color w:val="000000" w:themeColor="text1"/>
          <w:sz w:val="22"/>
          <w:szCs w:val="22"/>
        </w:rPr>
        <w:t xml:space="preserve"> arm, it was 70.9%, and this was a significant difference favoring the abemaciclib arm with a hazard ratio of 0.734. In other words, this translated to an absolute improvement in terms of IDFS of 6.5% at </w:t>
      </w:r>
      <w:r w:rsidR="433A772E" w:rsidRPr="19B2750F">
        <w:rPr>
          <w:rFonts w:ascii="Calibri" w:eastAsia="Calibri" w:hAnsi="Calibri" w:cs="Calibri"/>
          <w:color w:val="000000" w:themeColor="text1"/>
          <w:sz w:val="22"/>
          <w:szCs w:val="22"/>
        </w:rPr>
        <w:t>7</w:t>
      </w:r>
      <w:r w:rsidRPr="19B2750F">
        <w:rPr>
          <w:rFonts w:ascii="Calibri" w:eastAsia="Calibri" w:hAnsi="Calibri" w:cs="Calibri"/>
          <w:color w:val="000000" w:themeColor="text1"/>
          <w:sz w:val="22"/>
          <w:szCs w:val="22"/>
        </w:rPr>
        <w:t xml:space="preserve"> years favoring the abemaciclib arm. We also saw updated distant recurrence-free survival, and similarly, there was an absolute improvement of 5.1% at </w:t>
      </w:r>
      <w:r w:rsidR="310C4963" w:rsidRPr="19B2750F">
        <w:rPr>
          <w:rFonts w:ascii="Calibri" w:eastAsia="Calibri" w:hAnsi="Calibri" w:cs="Calibri"/>
          <w:color w:val="000000" w:themeColor="text1"/>
          <w:sz w:val="22"/>
          <w:szCs w:val="22"/>
        </w:rPr>
        <w:t>7</w:t>
      </w:r>
      <w:r w:rsidRPr="19B2750F">
        <w:rPr>
          <w:rFonts w:ascii="Calibri" w:eastAsia="Calibri" w:hAnsi="Calibri" w:cs="Calibri"/>
          <w:color w:val="000000" w:themeColor="text1"/>
          <w:sz w:val="22"/>
          <w:szCs w:val="22"/>
        </w:rPr>
        <w:t xml:space="preserve"> years favoring the abemaciclib arm. Now, what I'm particularly excited about</w:t>
      </w:r>
      <w:r w:rsidR="5BD7AD84"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is we are now starting to see more mature overall survival data. And again, at that </w:t>
      </w:r>
      <w:r w:rsidR="14FD1C3C" w:rsidRPr="19B2750F">
        <w:rPr>
          <w:rFonts w:ascii="Calibri" w:eastAsia="Calibri" w:hAnsi="Calibri" w:cs="Calibri"/>
          <w:color w:val="000000" w:themeColor="text1"/>
          <w:sz w:val="22"/>
          <w:szCs w:val="22"/>
        </w:rPr>
        <w:t>7</w:t>
      </w:r>
      <w:r w:rsidRPr="19B2750F">
        <w:rPr>
          <w:rFonts w:ascii="Calibri" w:eastAsia="Calibri" w:hAnsi="Calibri" w:cs="Calibri"/>
          <w:color w:val="000000" w:themeColor="text1"/>
          <w:sz w:val="22"/>
          <w:szCs w:val="22"/>
        </w:rPr>
        <w:t xml:space="preserve">-year mark, we saw 301 overall survival events in the abemaciclib-containing arm versus 360 overall survival events in the control arm, the endocrine </w:t>
      </w:r>
      <w:proofErr w:type="gramStart"/>
      <w:r w:rsidRPr="19B2750F">
        <w:rPr>
          <w:rFonts w:ascii="Calibri" w:eastAsia="Calibri" w:hAnsi="Calibri" w:cs="Calibri"/>
          <w:color w:val="000000" w:themeColor="text1"/>
          <w:sz w:val="22"/>
          <w:szCs w:val="22"/>
        </w:rPr>
        <w:t>therapy</w:t>
      </w:r>
      <w:r w:rsidR="4084B37C"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alone</w:t>
      </w:r>
      <w:proofErr w:type="gramEnd"/>
      <w:r w:rsidRPr="19B2750F">
        <w:rPr>
          <w:rFonts w:ascii="Calibri" w:eastAsia="Calibri" w:hAnsi="Calibri" w:cs="Calibri"/>
          <w:color w:val="000000" w:themeColor="text1"/>
          <w:sz w:val="22"/>
          <w:szCs w:val="22"/>
        </w:rPr>
        <w:t xml:space="preserve"> arm.</w:t>
      </w:r>
    </w:p>
    <w:p w14:paraId="2AFBE906" w14:textId="2EBB6060"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 xml:space="preserve">And this was a significant difference, an absolute improvement in overall survival of 1.8% at </w:t>
      </w:r>
      <w:r w:rsidR="76FFF59E" w:rsidRPr="19B2750F">
        <w:rPr>
          <w:rFonts w:ascii="Calibri" w:eastAsia="Calibri" w:hAnsi="Calibri" w:cs="Calibri"/>
          <w:color w:val="000000" w:themeColor="text1"/>
          <w:sz w:val="22"/>
          <w:szCs w:val="22"/>
        </w:rPr>
        <w:t>7</w:t>
      </w:r>
      <w:r w:rsidRPr="19B2750F">
        <w:rPr>
          <w:rFonts w:ascii="Calibri" w:eastAsia="Calibri" w:hAnsi="Calibri" w:cs="Calibri"/>
          <w:color w:val="000000" w:themeColor="text1"/>
          <w:sz w:val="22"/>
          <w:szCs w:val="22"/>
        </w:rPr>
        <w:t xml:space="preserve"> years, favoring the abemaciclib arm with a hazard ratio of 0.842. So again, we now see an overall survival benefit with the use of abemaciclib for our patients with high-risk early breast cancer. And this is the first overall survival data that we're seeing supporting the use of CDK4/6 inhibition, specifically abemaciclib for high-risk early-stage breast cancer.</w:t>
      </w:r>
    </w:p>
    <w:p w14:paraId="1D276685"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0B94BFE8" w14:textId="656D021D"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lastRenderedPageBreak/>
        <w:t xml:space="preserve">Thank you so much. </w:t>
      </w:r>
      <w:proofErr w:type="gramStart"/>
      <w:r w:rsidRPr="19B2750F">
        <w:rPr>
          <w:rFonts w:ascii="Calibri" w:eastAsia="Calibri" w:hAnsi="Calibri" w:cs="Calibri"/>
          <w:color w:val="000000" w:themeColor="text1"/>
          <w:sz w:val="22"/>
          <w:szCs w:val="22"/>
        </w:rPr>
        <w:t>Actually, at</w:t>
      </w:r>
      <w:proofErr w:type="gramEnd"/>
      <w:r w:rsidRPr="19B2750F">
        <w:rPr>
          <w:rFonts w:ascii="Calibri" w:eastAsia="Calibri" w:hAnsi="Calibri" w:cs="Calibri"/>
          <w:color w:val="000000" w:themeColor="text1"/>
          <w:sz w:val="22"/>
          <w:szCs w:val="22"/>
        </w:rPr>
        <w:t xml:space="preserve"> ESMO, we saw </w:t>
      </w:r>
      <w:r w:rsidR="0C14EC3B" w:rsidRPr="19B2750F">
        <w:rPr>
          <w:rFonts w:ascii="Calibri" w:eastAsia="Calibri" w:hAnsi="Calibri" w:cs="Calibri"/>
          <w:color w:val="000000" w:themeColor="text1"/>
          <w:sz w:val="22"/>
          <w:szCs w:val="22"/>
        </w:rPr>
        <w:t>5</w:t>
      </w:r>
      <w:r w:rsidRPr="19B2750F">
        <w:rPr>
          <w:rFonts w:ascii="Calibri" w:eastAsia="Calibri" w:hAnsi="Calibri" w:cs="Calibri"/>
          <w:color w:val="000000" w:themeColor="text1"/>
          <w:sz w:val="22"/>
          <w:szCs w:val="22"/>
        </w:rPr>
        <w:t>-year results for the NATALEE trial as well. Dr. Wander, could you give us a little background on that trial before we dive into some of those long-term results?</w:t>
      </w:r>
    </w:p>
    <w:p w14:paraId="6492D49C"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Seth Wander, MD:</w:t>
      </w:r>
    </w:p>
    <w:p w14:paraId="6FF360C0" w14:textId="4C1C0F49"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Thank you. A great pleasure to be with everybody, and I agree. That was a stellar overview from Neil about the updated data from monarchE. In the adjuvant high-risk setting, we also have data for adjuvant ribociclib in a similar but different patient population. So</w:t>
      </w:r>
      <w:r w:rsidR="0BF32FF2"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the NATALEE trial is another very large over 5,100-patient study, prospective phase </w:t>
      </w:r>
      <w:r w:rsidR="2CF67CF2" w:rsidRPr="19B2750F">
        <w:rPr>
          <w:rFonts w:ascii="Calibri" w:eastAsia="Calibri" w:hAnsi="Calibri" w:cs="Calibri"/>
          <w:color w:val="000000" w:themeColor="text1"/>
          <w:sz w:val="22"/>
          <w:szCs w:val="22"/>
        </w:rPr>
        <w:t>3</w:t>
      </w:r>
      <w:r w:rsidRPr="19B2750F">
        <w:rPr>
          <w:rFonts w:ascii="Calibri" w:eastAsia="Calibri" w:hAnsi="Calibri" w:cs="Calibri"/>
          <w:color w:val="000000" w:themeColor="text1"/>
          <w:sz w:val="22"/>
          <w:szCs w:val="22"/>
        </w:rPr>
        <w:t xml:space="preserve"> randomized. The inclusion criteria were somewhat different compared to the nice overview we just heard from Neil about monarchE. Now, one way I like to think about this is that in the NATALEE trial, anybody who was eligible for monarchE would've also met criteria for NATALEE. However, there were some "lower</w:t>
      </w:r>
      <w:r w:rsidR="54C943A3"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risk patients" that were allowed onto the NATALEE study. So</w:t>
      </w:r>
      <w:r w:rsidR="7C5738FC"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for example, patients with anatomic stage 2A disease who had N1 disease or N0 with grade </w:t>
      </w:r>
      <w:r w:rsidR="32CB6D77" w:rsidRPr="19B2750F">
        <w:rPr>
          <w:rFonts w:ascii="Calibri" w:eastAsia="Calibri" w:hAnsi="Calibri" w:cs="Calibri"/>
          <w:color w:val="000000" w:themeColor="text1"/>
          <w:sz w:val="22"/>
          <w:szCs w:val="22"/>
        </w:rPr>
        <w:t>3</w:t>
      </w:r>
      <w:r w:rsidRPr="19B2750F">
        <w:rPr>
          <w:rFonts w:ascii="Calibri" w:eastAsia="Calibri" w:hAnsi="Calibri" w:cs="Calibri"/>
          <w:color w:val="000000" w:themeColor="text1"/>
          <w:sz w:val="22"/>
          <w:szCs w:val="22"/>
        </w:rPr>
        <w:t xml:space="preserve"> or N0 with grade </w:t>
      </w:r>
      <w:r w:rsidR="701BDC35" w:rsidRPr="19B2750F">
        <w:rPr>
          <w:rFonts w:ascii="Calibri" w:eastAsia="Calibri" w:hAnsi="Calibri" w:cs="Calibri"/>
          <w:color w:val="000000" w:themeColor="text1"/>
          <w:sz w:val="22"/>
          <w:szCs w:val="22"/>
        </w:rPr>
        <w:t>2</w:t>
      </w:r>
      <w:r w:rsidRPr="19B2750F">
        <w:rPr>
          <w:rFonts w:ascii="Calibri" w:eastAsia="Calibri" w:hAnsi="Calibri" w:cs="Calibri"/>
          <w:color w:val="000000" w:themeColor="text1"/>
          <w:sz w:val="22"/>
          <w:szCs w:val="22"/>
        </w:rPr>
        <w:t xml:space="preserve"> and </w:t>
      </w:r>
      <w:r w:rsidR="0A62B0F2" w:rsidRPr="19B2750F">
        <w:rPr>
          <w:rFonts w:ascii="Calibri" w:eastAsia="Calibri" w:hAnsi="Calibri" w:cs="Calibri"/>
          <w:color w:val="000000" w:themeColor="text1"/>
          <w:sz w:val="22"/>
          <w:szCs w:val="22"/>
        </w:rPr>
        <w:t>1</w:t>
      </w:r>
      <w:r w:rsidRPr="19B2750F">
        <w:rPr>
          <w:rFonts w:ascii="Calibri" w:eastAsia="Calibri" w:hAnsi="Calibri" w:cs="Calibri"/>
          <w:color w:val="000000" w:themeColor="text1"/>
          <w:sz w:val="22"/>
          <w:szCs w:val="22"/>
        </w:rPr>
        <w:t xml:space="preserve"> additional risk factor, including, for example, a high genomic risk score like </w:t>
      </w:r>
      <w:r w:rsidR="00CC7B00">
        <w:rPr>
          <w:rFonts w:ascii="Calibri" w:eastAsia="Calibri" w:hAnsi="Calibri" w:cs="Calibri"/>
          <w:color w:val="000000" w:themeColor="text1"/>
          <w:sz w:val="22"/>
          <w:szCs w:val="22"/>
        </w:rPr>
        <w:t>o</w:t>
      </w:r>
      <w:r w:rsidRPr="19B2750F">
        <w:rPr>
          <w:rFonts w:ascii="Calibri" w:eastAsia="Calibri" w:hAnsi="Calibri" w:cs="Calibri"/>
          <w:color w:val="000000" w:themeColor="text1"/>
          <w:sz w:val="22"/>
          <w:szCs w:val="22"/>
        </w:rPr>
        <w:t>ncotype, elevated Ki-67 above 20%.</w:t>
      </w:r>
    </w:p>
    <w:p w14:paraId="66D39E28" w14:textId="73621DB0"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 xml:space="preserve">In NATALEE, patients were randomized and they were allowed to have had up to 12 months of prior endocrine therapy. They received either non-steroidal aromatase inhibitor alone with appropriate ovarian suppression for patients who were premenopausal or non-steroidal aromatase inhibitor with ribociclib. Now, there are some important differences here. As Neil just mentioned in </w:t>
      </w:r>
      <w:proofErr w:type="spellStart"/>
      <w:r w:rsidRPr="19B2750F">
        <w:rPr>
          <w:rFonts w:ascii="Calibri" w:eastAsia="Calibri" w:hAnsi="Calibri" w:cs="Calibri"/>
          <w:color w:val="000000" w:themeColor="text1"/>
          <w:sz w:val="22"/>
          <w:szCs w:val="22"/>
        </w:rPr>
        <w:t>monarchE</w:t>
      </w:r>
      <w:proofErr w:type="spellEnd"/>
      <w:r w:rsidRPr="19B2750F">
        <w:rPr>
          <w:rFonts w:ascii="Calibri" w:eastAsia="Calibri" w:hAnsi="Calibri" w:cs="Calibri"/>
          <w:color w:val="000000" w:themeColor="text1"/>
          <w:sz w:val="22"/>
          <w:szCs w:val="22"/>
        </w:rPr>
        <w:t xml:space="preserve">, there were </w:t>
      </w:r>
      <w:r w:rsidR="4130095A" w:rsidRPr="19B2750F">
        <w:rPr>
          <w:rFonts w:ascii="Calibri" w:eastAsia="Calibri" w:hAnsi="Calibri" w:cs="Calibri"/>
          <w:color w:val="000000" w:themeColor="text1"/>
          <w:sz w:val="22"/>
          <w:szCs w:val="22"/>
        </w:rPr>
        <w:t>2</w:t>
      </w:r>
      <w:r w:rsidRPr="19B2750F">
        <w:rPr>
          <w:rFonts w:ascii="Calibri" w:eastAsia="Calibri" w:hAnsi="Calibri" w:cs="Calibri"/>
          <w:color w:val="000000" w:themeColor="text1"/>
          <w:sz w:val="22"/>
          <w:szCs w:val="22"/>
        </w:rPr>
        <w:t xml:space="preserve"> years given of abemaciclib. Here, there were </w:t>
      </w:r>
      <w:r w:rsidR="03F3CD5D" w:rsidRPr="19B2750F">
        <w:rPr>
          <w:rFonts w:ascii="Calibri" w:eastAsia="Calibri" w:hAnsi="Calibri" w:cs="Calibri"/>
          <w:color w:val="000000" w:themeColor="text1"/>
          <w:sz w:val="22"/>
          <w:szCs w:val="22"/>
        </w:rPr>
        <w:t>3</w:t>
      </w:r>
      <w:r w:rsidRPr="19B2750F">
        <w:rPr>
          <w:rFonts w:ascii="Calibri" w:eastAsia="Calibri" w:hAnsi="Calibri" w:cs="Calibri"/>
          <w:color w:val="000000" w:themeColor="text1"/>
          <w:sz w:val="22"/>
          <w:szCs w:val="22"/>
        </w:rPr>
        <w:t xml:space="preserve"> years given of ribociclib, and the starting dose here was 400 milligrams per day, </w:t>
      </w:r>
      <w:r w:rsidR="19B23E60" w:rsidRPr="19B2750F">
        <w:rPr>
          <w:rFonts w:ascii="Calibri" w:eastAsia="Calibri" w:hAnsi="Calibri" w:cs="Calibri"/>
          <w:color w:val="000000" w:themeColor="text1"/>
          <w:sz w:val="22"/>
          <w:szCs w:val="22"/>
        </w:rPr>
        <w:t>3</w:t>
      </w:r>
      <w:r w:rsidRPr="19B2750F">
        <w:rPr>
          <w:rFonts w:ascii="Calibri" w:eastAsia="Calibri" w:hAnsi="Calibri" w:cs="Calibri"/>
          <w:color w:val="000000" w:themeColor="text1"/>
          <w:sz w:val="22"/>
          <w:szCs w:val="22"/>
        </w:rPr>
        <w:t xml:space="preserve"> weeks on, </w:t>
      </w:r>
      <w:r w:rsidR="5C20FEBE" w:rsidRPr="19B2750F">
        <w:rPr>
          <w:rFonts w:ascii="Calibri" w:eastAsia="Calibri" w:hAnsi="Calibri" w:cs="Calibri"/>
          <w:color w:val="000000" w:themeColor="text1"/>
          <w:sz w:val="22"/>
          <w:szCs w:val="22"/>
        </w:rPr>
        <w:t>1</w:t>
      </w:r>
      <w:r w:rsidRPr="19B2750F">
        <w:rPr>
          <w:rFonts w:ascii="Calibri" w:eastAsia="Calibri" w:hAnsi="Calibri" w:cs="Calibri"/>
          <w:color w:val="000000" w:themeColor="text1"/>
          <w:sz w:val="22"/>
          <w:szCs w:val="22"/>
        </w:rPr>
        <w:t xml:space="preserve"> week off. Now, this is lower than the standard starting dose in the metastatic setting, which is 600 milligrams per day. Another important difference, in monarchE, patients were allowed to explore the combination of tamoxifen with abemaciclib, although here, tamoxifen was not an option due to drug</w:t>
      </w:r>
      <w:r w:rsidR="3586778D" w:rsidRPr="19B2750F">
        <w:rPr>
          <w:sz w:val="22"/>
          <w:szCs w:val="22"/>
        </w:rPr>
        <w:t>–</w:t>
      </w:r>
      <w:r w:rsidRPr="19B2750F">
        <w:rPr>
          <w:rFonts w:ascii="Calibri" w:eastAsia="Calibri" w:hAnsi="Calibri" w:cs="Calibri"/>
          <w:color w:val="000000" w:themeColor="text1"/>
          <w:sz w:val="22"/>
          <w:szCs w:val="22"/>
        </w:rPr>
        <w:t>drug interactions and risk of EKG changes. So for the NATAL</w:t>
      </w:r>
      <w:r w:rsidR="008B47C8" w:rsidRPr="19B2750F">
        <w:rPr>
          <w:rFonts w:ascii="Calibri" w:eastAsia="Calibri" w:hAnsi="Calibri" w:cs="Calibri"/>
          <w:color w:val="000000" w:themeColor="text1"/>
          <w:sz w:val="22"/>
          <w:szCs w:val="22"/>
        </w:rPr>
        <w:t>E</w:t>
      </w:r>
      <w:r w:rsidRPr="19B2750F">
        <w:rPr>
          <w:rFonts w:ascii="Calibri" w:eastAsia="Calibri" w:hAnsi="Calibri" w:cs="Calibri"/>
          <w:color w:val="000000" w:themeColor="text1"/>
          <w:sz w:val="22"/>
          <w:szCs w:val="22"/>
        </w:rPr>
        <w:t>E trial, again, we had high-risk population, though there were some more lenient inclusion criteria. The primary endpoint was the same</w:t>
      </w:r>
      <w:r w:rsidR="00D43DF1">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invasive disease-free survival.</w:t>
      </w:r>
    </w:p>
    <w:p w14:paraId="5F6760D6"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1BFAD8B2" w14:textId="77716585"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 xml:space="preserve">Excellent. </w:t>
      </w:r>
      <w:proofErr w:type="gramStart"/>
      <w:r w:rsidRPr="19B2750F">
        <w:rPr>
          <w:rFonts w:ascii="Calibri" w:eastAsia="Calibri" w:hAnsi="Calibri" w:cs="Calibri"/>
          <w:color w:val="000000" w:themeColor="text1"/>
          <w:sz w:val="22"/>
          <w:szCs w:val="22"/>
        </w:rPr>
        <w:t>So</w:t>
      </w:r>
      <w:proofErr w:type="gramEnd"/>
      <w:r w:rsidRPr="19B2750F">
        <w:rPr>
          <w:rFonts w:ascii="Calibri" w:eastAsia="Calibri" w:hAnsi="Calibri" w:cs="Calibri"/>
          <w:color w:val="000000" w:themeColor="text1"/>
          <w:sz w:val="22"/>
          <w:szCs w:val="22"/>
        </w:rPr>
        <w:t xml:space="preserve"> the </w:t>
      </w:r>
      <w:r w:rsidR="68776E26" w:rsidRPr="19B2750F">
        <w:rPr>
          <w:rFonts w:ascii="Calibri" w:eastAsia="Calibri" w:hAnsi="Calibri" w:cs="Calibri"/>
          <w:color w:val="000000" w:themeColor="text1"/>
          <w:sz w:val="22"/>
          <w:szCs w:val="22"/>
        </w:rPr>
        <w:t>5</w:t>
      </w:r>
      <w:r w:rsidRPr="19B2750F">
        <w:rPr>
          <w:rFonts w:ascii="Calibri" w:eastAsia="Calibri" w:hAnsi="Calibri" w:cs="Calibri"/>
          <w:color w:val="000000" w:themeColor="text1"/>
          <w:sz w:val="22"/>
          <w:szCs w:val="22"/>
        </w:rPr>
        <w:t xml:space="preserve">-year analyses of the NATALEE trial were </w:t>
      </w:r>
      <w:proofErr w:type="gramStart"/>
      <w:r w:rsidRPr="19B2750F">
        <w:rPr>
          <w:rFonts w:ascii="Calibri" w:eastAsia="Calibri" w:hAnsi="Calibri" w:cs="Calibri"/>
          <w:color w:val="000000" w:themeColor="text1"/>
          <w:sz w:val="22"/>
          <w:szCs w:val="22"/>
        </w:rPr>
        <w:t>actually presented</w:t>
      </w:r>
      <w:proofErr w:type="gramEnd"/>
      <w:r w:rsidRPr="19B2750F">
        <w:rPr>
          <w:rFonts w:ascii="Calibri" w:eastAsia="Calibri" w:hAnsi="Calibri" w:cs="Calibri"/>
          <w:color w:val="000000" w:themeColor="text1"/>
          <w:sz w:val="22"/>
          <w:szCs w:val="22"/>
        </w:rPr>
        <w:t xml:space="preserve"> in the same se</w:t>
      </w:r>
      <w:r w:rsidR="000F5A57" w:rsidRPr="19B2750F">
        <w:rPr>
          <w:rFonts w:ascii="Calibri" w:eastAsia="Calibri" w:hAnsi="Calibri" w:cs="Calibri"/>
          <w:color w:val="000000" w:themeColor="text1"/>
          <w:sz w:val="22"/>
          <w:szCs w:val="22"/>
        </w:rPr>
        <w:t>ssion</w:t>
      </w:r>
      <w:r w:rsidRPr="19B2750F">
        <w:rPr>
          <w:rFonts w:ascii="Calibri" w:eastAsia="Calibri" w:hAnsi="Calibri" w:cs="Calibri"/>
          <w:color w:val="000000" w:themeColor="text1"/>
          <w:sz w:val="22"/>
          <w:szCs w:val="22"/>
        </w:rPr>
        <w:t xml:space="preserve"> as the </w:t>
      </w:r>
      <w:r w:rsidR="73D44601" w:rsidRPr="19B2750F">
        <w:rPr>
          <w:rFonts w:ascii="Calibri" w:eastAsia="Calibri" w:hAnsi="Calibri" w:cs="Calibri"/>
          <w:color w:val="000000" w:themeColor="text1"/>
          <w:sz w:val="22"/>
          <w:szCs w:val="22"/>
        </w:rPr>
        <w:t>7</w:t>
      </w:r>
      <w:r w:rsidRPr="19B2750F">
        <w:rPr>
          <w:rFonts w:ascii="Calibri" w:eastAsia="Calibri" w:hAnsi="Calibri" w:cs="Calibri"/>
          <w:color w:val="000000" w:themeColor="text1"/>
          <w:sz w:val="22"/>
          <w:szCs w:val="22"/>
        </w:rPr>
        <w:t>-year outcome results for monarchE. Could you give us an overview of what the study revealed?</w:t>
      </w:r>
    </w:p>
    <w:p w14:paraId="0157EE2C"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Seth Wander, MD:</w:t>
      </w:r>
    </w:p>
    <w:p w14:paraId="2558C8BB" w14:textId="51DF24A5"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 xml:space="preserve">As we were just discussing, the NATALEE trial is not quite as far along in terms of follow-up as monarchE, but we did see the </w:t>
      </w:r>
      <w:r w:rsidR="78A2B4B8" w:rsidRPr="19B2750F">
        <w:rPr>
          <w:rFonts w:ascii="Calibri" w:eastAsia="Calibri" w:hAnsi="Calibri" w:cs="Calibri"/>
          <w:color w:val="000000" w:themeColor="text1"/>
          <w:sz w:val="22"/>
          <w:szCs w:val="22"/>
        </w:rPr>
        <w:t>5</w:t>
      </w:r>
      <w:r w:rsidRPr="19B2750F">
        <w:rPr>
          <w:rFonts w:ascii="Calibri" w:eastAsia="Calibri" w:hAnsi="Calibri" w:cs="Calibri"/>
          <w:color w:val="000000" w:themeColor="text1"/>
          <w:sz w:val="22"/>
          <w:szCs w:val="22"/>
        </w:rPr>
        <w:t>-year follow-up from ESMO 2025. Now here, we see a very similar pattern where we see early separation between the primary endpoint IDFS curves. And over time, if anything, that separation is expanding</w:t>
      </w:r>
      <w:r w:rsidR="1DB67D87"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it's </w:t>
      </w:r>
      <w:proofErr w:type="gramStart"/>
      <w:r w:rsidRPr="19B2750F">
        <w:rPr>
          <w:rFonts w:ascii="Calibri" w:eastAsia="Calibri" w:hAnsi="Calibri" w:cs="Calibri"/>
          <w:color w:val="000000" w:themeColor="text1"/>
          <w:sz w:val="22"/>
          <w:szCs w:val="22"/>
        </w:rPr>
        <w:t>actually getting</w:t>
      </w:r>
      <w:proofErr w:type="gramEnd"/>
      <w:r w:rsidRPr="19B2750F">
        <w:rPr>
          <w:rFonts w:ascii="Calibri" w:eastAsia="Calibri" w:hAnsi="Calibri" w:cs="Calibri"/>
          <w:color w:val="000000" w:themeColor="text1"/>
          <w:sz w:val="22"/>
          <w:szCs w:val="22"/>
        </w:rPr>
        <w:t xml:space="preserve"> better. So here at ESMO in 2025, after a median follow-up of over 55 months, we had a sustained and statistically significant IDFS benefit in the combination arm with ribociclib. Here, we saw an improvement from about 81% to 85.5%, which is an absolute improvement of 4.5%</w:t>
      </w:r>
      <w:r w:rsidR="4A835EB4"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and a hazard ratio of 0.72 that, again, was highly statistically significant. Importantly, this benefit is not limited just to the highest</w:t>
      </w:r>
      <w:r w:rsidR="6B376617"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risk patients, for example, the overlap with monarchE. Even in the patients with N0 disease who would not have been eligible for monarchE, we see significant benefit conveyed across these groups regardless of nodal status.</w:t>
      </w:r>
    </w:p>
    <w:p w14:paraId="5A1970FF" w14:textId="3EE37E55"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We also see the same trend in terms of distant recurrence-free survival. Now, on both monarchE and NATALEE, most of the recurrence events, though not all, most of the recurrence events are actually distant recurrence events. So</w:t>
      </w:r>
      <w:r w:rsidR="197AFEB4"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it seems like here we're actually preventing the outgrowth of micrometastatic distant disease. Now, when we think about trying to place these studies into context, it isn't simply a matter of the duration of follow-up, but also we want to think about the duration of </w:t>
      </w:r>
      <w:r w:rsidRPr="19B2750F">
        <w:rPr>
          <w:rFonts w:ascii="Calibri" w:eastAsia="Calibri" w:hAnsi="Calibri" w:cs="Calibri"/>
          <w:color w:val="000000" w:themeColor="text1"/>
          <w:sz w:val="22"/>
          <w:szCs w:val="22"/>
        </w:rPr>
        <w:lastRenderedPageBreak/>
        <w:t>follow-up when all patients were off-drug. So</w:t>
      </w:r>
      <w:r w:rsidR="74B5834E"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to convince ourselves that we have a durable effect, that we're not just delaying the outgrowth of metastatic disease, I think it's helpful to visualize what's happening to these patients both biologically and clinically when we have long-term follow-up off treatment. As Neil mentioned, we now have a lot of follow-up for the patients on monarchE when all of the population has been off-drug.</w:t>
      </w:r>
    </w:p>
    <w:p w14:paraId="1D10BB6C" w14:textId="6CE63B46"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 xml:space="preserve">Here, we're starting to see the same pattern, but because it was </w:t>
      </w:r>
      <w:r w:rsidR="1D645323" w:rsidRPr="19B2750F">
        <w:rPr>
          <w:rFonts w:ascii="Calibri" w:eastAsia="Calibri" w:hAnsi="Calibri" w:cs="Calibri"/>
          <w:color w:val="000000" w:themeColor="text1"/>
          <w:sz w:val="22"/>
          <w:szCs w:val="22"/>
        </w:rPr>
        <w:t>3</w:t>
      </w:r>
      <w:r w:rsidRPr="19B2750F">
        <w:rPr>
          <w:rFonts w:ascii="Calibri" w:eastAsia="Calibri" w:hAnsi="Calibri" w:cs="Calibri"/>
          <w:color w:val="000000" w:themeColor="text1"/>
          <w:sz w:val="22"/>
          <w:szCs w:val="22"/>
        </w:rPr>
        <w:t xml:space="preserve"> years of drug on NATALEE versus </w:t>
      </w:r>
      <w:r w:rsidR="5E22261D" w:rsidRPr="19B2750F">
        <w:rPr>
          <w:rFonts w:ascii="Calibri" w:eastAsia="Calibri" w:hAnsi="Calibri" w:cs="Calibri"/>
          <w:color w:val="000000" w:themeColor="text1"/>
          <w:sz w:val="22"/>
          <w:szCs w:val="22"/>
        </w:rPr>
        <w:t>2</w:t>
      </w:r>
      <w:r w:rsidRPr="19B2750F">
        <w:rPr>
          <w:rFonts w:ascii="Calibri" w:eastAsia="Calibri" w:hAnsi="Calibri" w:cs="Calibri"/>
          <w:color w:val="000000" w:themeColor="text1"/>
          <w:sz w:val="22"/>
          <w:szCs w:val="22"/>
        </w:rPr>
        <w:t xml:space="preserve"> years of drug on monarchE, and because overall the amount of follow-up on NATALEE is not quite as long, we don't have the same amount of duration of follow-up of everybody being </w:t>
      </w:r>
      <w:proofErr w:type="gramStart"/>
      <w:r w:rsidRPr="19B2750F">
        <w:rPr>
          <w:rFonts w:ascii="Calibri" w:eastAsia="Calibri" w:hAnsi="Calibri" w:cs="Calibri"/>
          <w:color w:val="000000" w:themeColor="text1"/>
          <w:sz w:val="22"/>
          <w:szCs w:val="22"/>
        </w:rPr>
        <w:t>off-drug</w:t>
      </w:r>
      <w:proofErr w:type="gramEnd"/>
      <w:r w:rsidRPr="19B2750F">
        <w:rPr>
          <w:rFonts w:ascii="Calibri" w:eastAsia="Calibri" w:hAnsi="Calibri" w:cs="Calibri"/>
          <w:color w:val="000000" w:themeColor="text1"/>
          <w:sz w:val="22"/>
          <w:szCs w:val="22"/>
        </w:rPr>
        <w:t>. But with that being said, we have similar patterns of benefit. We don't yet have mature overall survival data for NATALEE, though there is a trend favoring the combination arm. As of the ESMO 2025 update for survival with ribociclib plus aromatase inhibitor versus aromatase inhibitor alone, we had a hazard ratio of 0.80, and the confidence interval went from 0.64 right up to 1.00. So</w:t>
      </w:r>
      <w:r w:rsidR="69C230D6"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we haven't yet reached statistical significance, although again, we need longer follow-up. There were fewer patients alive with metastatic disease in the combination arm versus the control arm, again, suggesting that we may be preventing metastatic outgrowth here. And again, there were no new safety signals identified with this longer period of follow-up on NATALEE.</w:t>
      </w:r>
    </w:p>
    <w:p w14:paraId="25F2D2B0"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6F89631B" w14:textId="77777777" w:rsidR="00A77B3E" w:rsidRDefault="00AC2B28">
      <w:pPr>
        <w:spacing w:before="80"/>
        <w:rPr>
          <w:rFonts w:ascii="Calibri" w:eastAsia="Calibri" w:hAnsi="Calibri" w:cs="Calibri"/>
          <w:color w:val="000000"/>
          <w:sz w:val="22"/>
        </w:rPr>
      </w:pPr>
      <w:r>
        <w:rPr>
          <w:rFonts w:ascii="Calibri" w:eastAsia="Calibri" w:hAnsi="Calibri" w:cs="Calibri"/>
          <w:color w:val="000000"/>
          <w:sz w:val="22"/>
        </w:rPr>
        <w:t>Thank you so much for putting that into perspective. I'd actually like to open it up to both of you. Are there any other thoughts, key takeaways in terms of putting these long-term data into perspective and what it means for your practice and patients that you care for?</w:t>
      </w:r>
    </w:p>
    <w:p w14:paraId="04ABF35B"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Seth Wander, MD:</w:t>
      </w:r>
    </w:p>
    <w:p w14:paraId="53A396F1" w14:textId="6E275940"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Maybe I'll just start and then I'll turn it over to Neil. For me, I think it's great to have options. When we're trying to parse this data, I know it can be confusing</w:t>
      </w:r>
      <w:r w:rsidR="49405EB4"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because inclusion criteria differs, the length of follow-up differs, the duration of treatment differs, but just like in the era where we saw data for </w:t>
      </w:r>
      <w:r w:rsidR="143B7326" w:rsidRPr="19B2750F">
        <w:rPr>
          <w:rFonts w:ascii="Calibri" w:eastAsia="Calibri" w:hAnsi="Calibri" w:cs="Calibri"/>
          <w:color w:val="000000" w:themeColor="text1"/>
          <w:sz w:val="22"/>
          <w:szCs w:val="22"/>
        </w:rPr>
        <w:t>3</w:t>
      </w:r>
      <w:r w:rsidRPr="19B2750F">
        <w:rPr>
          <w:rFonts w:ascii="Calibri" w:eastAsia="Calibri" w:hAnsi="Calibri" w:cs="Calibri"/>
          <w:color w:val="000000" w:themeColor="text1"/>
          <w:sz w:val="22"/>
          <w:szCs w:val="22"/>
        </w:rPr>
        <w:t xml:space="preserve"> different aromatase inhibitors that ended up being very similar in the long term, for reasons that aren't entirely clear, some women do better on </w:t>
      </w:r>
      <w:r w:rsidR="00747777">
        <w:rPr>
          <w:rFonts w:ascii="Calibri" w:eastAsia="Calibri" w:hAnsi="Calibri" w:cs="Calibri"/>
          <w:color w:val="000000" w:themeColor="text1"/>
          <w:sz w:val="22"/>
          <w:szCs w:val="22"/>
        </w:rPr>
        <w:t>1</w:t>
      </w:r>
      <w:r w:rsidR="00747777" w:rsidRPr="19B2750F">
        <w:rPr>
          <w:rFonts w:ascii="Calibri" w:eastAsia="Calibri" w:hAnsi="Calibri" w:cs="Calibri"/>
          <w:color w:val="000000" w:themeColor="text1"/>
          <w:sz w:val="22"/>
          <w:szCs w:val="22"/>
        </w:rPr>
        <w:t xml:space="preserve"> </w:t>
      </w:r>
      <w:r w:rsidRPr="19B2750F">
        <w:rPr>
          <w:rFonts w:ascii="Calibri" w:eastAsia="Calibri" w:hAnsi="Calibri" w:cs="Calibri"/>
          <w:color w:val="000000" w:themeColor="text1"/>
          <w:sz w:val="22"/>
          <w:szCs w:val="22"/>
        </w:rPr>
        <w:t>aromatase inhibitor versus another. So having more options for these patients I think is beneficial. There are individual patients who may be better candidates for ribociclib or for abemaciclib for various reasons.</w:t>
      </w:r>
    </w:p>
    <w:p w14:paraId="45E26DD2" w14:textId="77777777" w:rsidR="00A77B3E" w:rsidRDefault="00AC2B28">
      <w:pPr>
        <w:spacing w:before="80"/>
        <w:rPr>
          <w:rFonts w:ascii="Calibri" w:eastAsia="Calibri" w:hAnsi="Calibri" w:cs="Calibri"/>
          <w:color w:val="000000"/>
          <w:sz w:val="22"/>
        </w:rPr>
      </w:pPr>
      <w:r>
        <w:rPr>
          <w:rFonts w:ascii="Calibri" w:eastAsia="Calibri" w:hAnsi="Calibri" w:cs="Calibri"/>
          <w:color w:val="000000"/>
          <w:sz w:val="22"/>
        </w:rPr>
        <w:t>I think we do still want to see longer follow-up data, particularly on the NATALEE study where we can be increasingly confident with long durations of follow-up off treatment that the magnitude of benefit stays consistent or continues to expand as we saw in the monarchE study. And of course, overall survival here is the gold standard and the ultimate target for these studies. And so it would, again, be important to see longer-term follow-up for NATALEE so that we can be confident we're seeing the same biological processes unfolding across both studies.</w:t>
      </w:r>
    </w:p>
    <w:p w14:paraId="1A9BFC11"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Neil Iyengar, MD:</w:t>
      </w:r>
    </w:p>
    <w:p w14:paraId="6D21C56E" w14:textId="7D6220D4"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 xml:space="preserve">Yeah. And I completely agree with Seth. I think he very nicely pointed out compared and contrasted both trials, the monarchE and the NATALEE trial. But I think from an efficacy standpoint, I want to go back to Seth's point about having options here because I think we are excited to see promising activity, at least in terms of IDFS in both the NATALEE and the monarchE trials. I think we are reassured by the overall survival benefit that we're now seeing in monarchE with longer-term follow-up. We do need to keep in mind here, as Seth also pointed out, that the study populations are a little bit different between both of the trials. And while there's certainly overlap in terms of patients who would've been eligible </w:t>
      </w:r>
      <w:r w:rsidRPr="19B2750F">
        <w:rPr>
          <w:rFonts w:ascii="Calibri" w:eastAsia="Calibri" w:hAnsi="Calibri" w:cs="Calibri"/>
          <w:color w:val="000000" w:themeColor="text1"/>
          <w:sz w:val="22"/>
          <w:szCs w:val="22"/>
        </w:rPr>
        <w:lastRenderedPageBreak/>
        <w:t>both for NATALEE and for monarchE, the monarchE population did specifically focus on the high-risk population</w:t>
      </w:r>
      <w:r w:rsidR="729175B6"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while NATALEE also allowed for that lower intermediate risk.</w:t>
      </w:r>
    </w:p>
    <w:p w14:paraId="43A00213" w14:textId="46B5215F"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I think we may have some more clear guidance in terms of what treatment selection that we may choose. I do feel more comfortable leaning towards something like abemaciclib for our highest of risk patients or for our high</w:t>
      </w:r>
      <w:r w:rsidR="7643AC33"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risk patients, whereas I may have a conversation about both options for that overlapping population. And in our lowest or lower</w:t>
      </w:r>
      <w:r w:rsidR="0039062E">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risk patients with no</w:t>
      </w:r>
      <w:r w:rsidR="00E44966" w:rsidRPr="19B2750F">
        <w:rPr>
          <w:rFonts w:ascii="Calibri" w:eastAsia="Calibri" w:hAnsi="Calibri" w:cs="Calibri"/>
          <w:color w:val="000000" w:themeColor="text1"/>
          <w:sz w:val="22"/>
          <w:szCs w:val="22"/>
        </w:rPr>
        <w:t>de</w:t>
      </w:r>
      <w:r w:rsidR="69CB34FC"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negative disease, of course, ribociclib is the only option in that setting. And so</w:t>
      </w:r>
      <w:r w:rsidR="539D5C44"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I do think we can look to the eligibility criteria to sort of guide our treatment recommendations. It really comes down to risk stratification</w:t>
      </w:r>
      <w:r w:rsidR="27D48CE3"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as well as mutual decision</w:t>
      </w:r>
      <w:r w:rsidR="1789C4C8"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making with our patients.</w:t>
      </w:r>
    </w:p>
    <w:p w14:paraId="6C7C6924"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Seth Wander, MD:</w:t>
      </w:r>
    </w:p>
    <w:p w14:paraId="7BDA8CE6" w14:textId="54A9C24C" w:rsidR="00A77B3E" w:rsidRDefault="00AC2B28" w:rsidP="19B2750F">
      <w:pPr>
        <w:spacing w:before="80"/>
        <w:rPr>
          <w:rFonts w:ascii="Calibri" w:eastAsia="Calibri" w:hAnsi="Calibri" w:cs="Calibri"/>
          <w:color w:val="000000"/>
          <w:sz w:val="22"/>
          <w:szCs w:val="22"/>
        </w:rPr>
      </w:pPr>
      <w:proofErr w:type="gramStart"/>
      <w:r w:rsidRPr="19B2750F">
        <w:rPr>
          <w:rFonts w:ascii="Calibri" w:eastAsia="Calibri" w:hAnsi="Calibri" w:cs="Calibri"/>
          <w:color w:val="000000" w:themeColor="text1"/>
          <w:sz w:val="22"/>
          <w:szCs w:val="22"/>
        </w:rPr>
        <w:t>So</w:t>
      </w:r>
      <w:proofErr w:type="gramEnd"/>
      <w:r w:rsidRPr="19B2750F">
        <w:rPr>
          <w:rFonts w:ascii="Calibri" w:eastAsia="Calibri" w:hAnsi="Calibri" w:cs="Calibri"/>
          <w:color w:val="000000" w:themeColor="text1"/>
          <w:sz w:val="22"/>
          <w:szCs w:val="22"/>
        </w:rPr>
        <w:t xml:space="preserve"> Neil, can I just emphasize </w:t>
      </w:r>
      <w:r w:rsidR="23919A34" w:rsidRPr="19B2750F">
        <w:rPr>
          <w:rFonts w:ascii="Calibri" w:eastAsia="Calibri" w:hAnsi="Calibri" w:cs="Calibri"/>
          <w:color w:val="000000" w:themeColor="text1"/>
          <w:sz w:val="22"/>
          <w:szCs w:val="22"/>
        </w:rPr>
        <w:t>1</w:t>
      </w:r>
      <w:r w:rsidRPr="19B2750F">
        <w:rPr>
          <w:rFonts w:ascii="Calibri" w:eastAsia="Calibri" w:hAnsi="Calibri" w:cs="Calibri"/>
          <w:color w:val="000000" w:themeColor="text1"/>
          <w:sz w:val="22"/>
          <w:szCs w:val="22"/>
        </w:rPr>
        <w:t xml:space="preserve"> final point? And I'm curious your thoughts on this as well. For that population that you mentioned with the overlap with monarchE, I think this is a challenging point for many clinicians across the country and internationally right now. For those lower</w:t>
      </w:r>
      <w:r w:rsidR="4002EFD5"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risk patients who only meet criteria for NATALEE, per your point a moment ago, I completely agree that that's a relatively straightforward conversation. For the patients who meet criteria for both, I think if you put 10 breast cancer specialists together, you'll hear a couple of different responses to this. My feeling, just to be explicit about it, has been given the duration of follow-up for monarchE, particularly the population off-drug, seeing the magnitude of benefit being at least stable, if not increasing in terms of both IDFS and distant recurrence-free survival, and now with a statistically significant overall survival, I tend to prefer trying to offer them abemaciclib. Not because I don't necessarily believe that NATALEE is heading in the same direction, but that we just don't have all that follow-up yet.</w:t>
      </w:r>
    </w:p>
    <w:p w14:paraId="0A5C5975" w14:textId="77777777" w:rsidR="00A77B3E" w:rsidRDefault="00AC2B28">
      <w:pPr>
        <w:spacing w:before="80"/>
        <w:rPr>
          <w:rFonts w:ascii="Calibri" w:eastAsia="Calibri" w:hAnsi="Calibri" w:cs="Calibri"/>
          <w:color w:val="000000"/>
          <w:sz w:val="22"/>
        </w:rPr>
      </w:pPr>
      <w:r>
        <w:rPr>
          <w:rFonts w:ascii="Calibri" w:eastAsia="Calibri" w:hAnsi="Calibri" w:cs="Calibri"/>
          <w:color w:val="000000"/>
          <w:sz w:val="22"/>
        </w:rPr>
        <w:t>I think for individual cases, there may be patients who are, to your point, in a case-by-case basis, better suited for ribociclib, maybe because of GI-related side effects on abemaciclib or because of concurrent medications or because of some other risk factor where we feel they can't tolerate it. But for the vast majority of them, I tend to prefer trying to offer the abemaciclib in that overlap. I just want to see if you agree or disagree, because I think this is a point of confusion for a lot of people.</w:t>
      </w:r>
    </w:p>
    <w:p w14:paraId="13E08166"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t>Neil Iyengar, MD:</w:t>
      </w:r>
    </w:p>
    <w:p w14:paraId="26D0D9C2" w14:textId="6159B592"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Yeah, I think Seth, that's a fair approach. And you're totally right to point out that if you put a bunch of us together in a room, you're going to get a bunch of differing opinions on the overlap population. But I think to your point, we do need to be, at least to some extent, data-driven. And you're right to point out that we do have that not only long-term follow-up, but more patients who've completed treatment. Also, even if we look at the differences in event rates between both trials, now again, noting that there are differences in the risk profiles for patients included in each of the trials, I do think that where we stand right now in terms of the state of the data, we do have a clearer answer with monarchE in terms of the overall survival benefit. And so</w:t>
      </w:r>
      <w:r w:rsidR="3FFDAC01" w:rsidRPr="19B2750F">
        <w:rPr>
          <w:rFonts w:ascii="Calibri" w:eastAsia="Calibri" w:hAnsi="Calibri" w:cs="Calibri"/>
          <w:color w:val="000000" w:themeColor="text1"/>
          <w:sz w:val="22"/>
          <w:szCs w:val="22"/>
        </w:rPr>
        <w:t>,</w:t>
      </w:r>
      <w:r w:rsidRPr="19B2750F">
        <w:rPr>
          <w:rFonts w:ascii="Calibri" w:eastAsia="Calibri" w:hAnsi="Calibri" w:cs="Calibri"/>
          <w:color w:val="000000" w:themeColor="text1"/>
          <w:sz w:val="22"/>
          <w:szCs w:val="22"/>
        </w:rPr>
        <w:t xml:space="preserve"> my approach for that overlapping population has certainly been to be explicit about that information with the patients and really try to make them understand that we do now have this overall survival benefit seen in the monarchE trial.</w:t>
      </w:r>
    </w:p>
    <w:p w14:paraId="353EA7B1" w14:textId="60C73046" w:rsidR="00A77B3E" w:rsidRDefault="00AC2B28" w:rsidP="19B2750F">
      <w:pPr>
        <w:spacing w:before="80"/>
        <w:rPr>
          <w:rFonts w:ascii="Calibri" w:eastAsia="Calibri" w:hAnsi="Calibri" w:cs="Calibri"/>
          <w:color w:val="000000"/>
          <w:sz w:val="22"/>
          <w:szCs w:val="22"/>
        </w:rPr>
      </w:pPr>
      <w:r w:rsidRPr="19B2750F">
        <w:rPr>
          <w:rFonts w:ascii="Calibri" w:eastAsia="Calibri" w:hAnsi="Calibri" w:cs="Calibri"/>
          <w:color w:val="000000" w:themeColor="text1"/>
          <w:sz w:val="22"/>
          <w:szCs w:val="22"/>
        </w:rPr>
        <w:t xml:space="preserve">And that really, for me, is a guiding light in terms of the type of treatment that I'm offering to the patient. But I do recognize, as you've pointed out, that the AE profile is different between the </w:t>
      </w:r>
      <w:r w:rsidR="319C66F8" w:rsidRPr="19B2750F">
        <w:rPr>
          <w:rFonts w:ascii="Calibri" w:eastAsia="Calibri" w:hAnsi="Calibri" w:cs="Calibri"/>
          <w:color w:val="000000" w:themeColor="text1"/>
          <w:sz w:val="22"/>
          <w:szCs w:val="22"/>
        </w:rPr>
        <w:t>2</w:t>
      </w:r>
      <w:r w:rsidRPr="19B2750F">
        <w:rPr>
          <w:rFonts w:ascii="Calibri" w:eastAsia="Calibri" w:hAnsi="Calibri" w:cs="Calibri"/>
          <w:color w:val="000000" w:themeColor="text1"/>
          <w:sz w:val="22"/>
          <w:szCs w:val="22"/>
        </w:rPr>
        <w:t xml:space="preserve"> options. The duration of treatment is different between the </w:t>
      </w:r>
      <w:r w:rsidR="1642C885" w:rsidRPr="19B2750F">
        <w:rPr>
          <w:rFonts w:ascii="Calibri" w:eastAsia="Calibri" w:hAnsi="Calibri" w:cs="Calibri"/>
          <w:color w:val="000000" w:themeColor="text1"/>
          <w:sz w:val="22"/>
          <w:szCs w:val="22"/>
        </w:rPr>
        <w:t>2</w:t>
      </w:r>
      <w:r w:rsidRPr="19B2750F">
        <w:rPr>
          <w:rFonts w:ascii="Calibri" w:eastAsia="Calibri" w:hAnsi="Calibri" w:cs="Calibri"/>
          <w:color w:val="000000" w:themeColor="text1"/>
          <w:sz w:val="22"/>
          <w:szCs w:val="22"/>
        </w:rPr>
        <w:t xml:space="preserve"> options. Even the schedule of treatment is a bit different between the </w:t>
      </w:r>
      <w:r w:rsidR="4EFD3011" w:rsidRPr="19B2750F">
        <w:rPr>
          <w:rFonts w:ascii="Calibri" w:eastAsia="Calibri" w:hAnsi="Calibri" w:cs="Calibri"/>
          <w:color w:val="000000" w:themeColor="text1"/>
          <w:sz w:val="22"/>
          <w:szCs w:val="22"/>
        </w:rPr>
        <w:t>2</w:t>
      </w:r>
      <w:r w:rsidRPr="19B2750F">
        <w:rPr>
          <w:rFonts w:ascii="Calibri" w:eastAsia="Calibri" w:hAnsi="Calibri" w:cs="Calibri"/>
          <w:color w:val="000000" w:themeColor="text1"/>
          <w:sz w:val="22"/>
          <w:szCs w:val="22"/>
        </w:rPr>
        <w:t xml:space="preserve"> options. So all of this factors into the discussion that I have with the patient, but I agree starting off that discussion with a recommendation based on the current state of the data does push me towards my default being abemaciclib in that overlapping population.</w:t>
      </w:r>
    </w:p>
    <w:p w14:paraId="3FB3FE54" w14:textId="77777777" w:rsidR="00A77B3E" w:rsidRDefault="00AC2B28">
      <w:pPr>
        <w:spacing w:beforeAutospacing="1"/>
        <w:rPr>
          <w:rFonts w:ascii="Calibri" w:eastAsia="Calibri" w:hAnsi="Calibri" w:cs="Calibri"/>
          <w:color w:val="000000"/>
          <w:sz w:val="22"/>
        </w:rPr>
      </w:pPr>
      <w:r>
        <w:rPr>
          <w:rFonts w:ascii="Calibri" w:eastAsia="Calibri" w:hAnsi="Calibri" w:cs="Calibri"/>
          <w:color w:val="000000"/>
          <w:sz w:val="22"/>
        </w:rPr>
        <w:lastRenderedPageBreak/>
        <w:t>Podcast Host:</w:t>
      </w:r>
    </w:p>
    <w:p w14:paraId="7730ABDD" w14:textId="77777777" w:rsidR="00A77B3E" w:rsidRDefault="00AC2B28">
      <w:pPr>
        <w:spacing w:before="80"/>
        <w:rPr>
          <w:rFonts w:ascii="Calibri" w:eastAsia="Calibri" w:hAnsi="Calibri" w:cs="Calibri"/>
          <w:color w:val="000000"/>
          <w:sz w:val="22"/>
        </w:rPr>
      </w:pPr>
      <w:r>
        <w:rPr>
          <w:rFonts w:ascii="Calibri" w:eastAsia="Calibri" w:hAnsi="Calibri" w:cs="Calibri"/>
          <w:color w:val="000000"/>
          <w:sz w:val="22"/>
        </w:rPr>
        <w:t>Thank you both for joining us today and sharing some of your expertise. We're going to have you both back for our second episode, so inviting our listeners to join us next time, where we're going to talk about some of the best practices in treating these patients, as well as dig into some of the AE profiles for our CDK4/6 inhibitors and their management strategies. Hope to see you there.</w:t>
      </w:r>
    </w:p>
    <w:p w14:paraId="213E24D7" w14:textId="77777777" w:rsidR="00A77B3E" w:rsidRDefault="00A77B3E">
      <w:pPr>
        <w:spacing w:before="80"/>
        <w:rPr>
          <w:rFonts w:ascii="Calibri" w:eastAsia="Calibri" w:hAnsi="Calibri" w:cs="Calibri"/>
          <w:color w:val="000000"/>
          <w:sz w:val="22"/>
        </w:rPr>
      </w:pPr>
    </w:p>
    <w:sectPr w:rsidR="00A77B3E">
      <w:headerReference w:type="default" r:id="rId9"/>
      <w:footerReference w:type="default" r:id="rId10"/>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6752A" w14:textId="77777777" w:rsidR="00CB134F" w:rsidRDefault="00CB134F">
      <w:r>
        <w:separator/>
      </w:r>
    </w:p>
  </w:endnote>
  <w:endnote w:type="continuationSeparator" w:id="0">
    <w:p w14:paraId="3F38E5E2" w14:textId="77777777" w:rsidR="00CB134F" w:rsidRDefault="00CB1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872"/>
    </w:tblGrid>
    <w:tr w:rsidR="0080317E" w14:paraId="1A79DDB5" w14:textId="77777777">
      <w:tc>
        <w:tcPr>
          <w:tcW w:w="4000" w:type="pct"/>
          <w:tcBorders>
            <w:top w:val="nil"/>
            <w:left w:val="nil"/>
            <w:bottom w:val="nil"/>
            <w:right w:val="nil"/>
          </w:tcBorders>
          <w:noWrap/>
        </w:tcPr>
        <w:p w14:paraId="73673728" w14:textId="423026B8" w:rsidR="0080317E" w:rsidRDefault="0080317E" w:rsidP="00AC2B28"/>
      </w:tc>
      <w:tc>
        <w:tcPr>
          <w:tcW w:w="1000" w:type="pct"/>
          <w:tcBorders>
            <w:top w:val="nil"/>
            <w:left w:val="nil"/>
            <w:bottom w:val="nil"/>
            <w:right w:val="nil"/>
          </w:tcBorders>
          <w:noWrap/>
        </w:tcPr>
        <w:p w14:paraId="59BBF383" w14:textId="77777777" w:rsidR="0080317E" w:rsidRDefault="00AC2B28">
          <w:pPr>
            <w:jc w:val="right"/>
          </w:pPr>
          <w:r>
            <w:t xml:space="preserve">Page </w:t>
          </w:r>
          <w:r>
            <w:fldChar w:fldCharType="begin"/>
          </w:r>
          <w:r>
            <w:instrText>PAGE</w:instrText>
          </w:r>
          <w:r>
            <w:fldChar w:fldCharType="separate"/>
          </w:r>
          <w:r w:rsidR="003D444B">
            <w:rPr>
              <w:noProof/>
            </w:rPr>
            <w:t>1</w:t>
          </w:r>
          <w:r>
            <w:fldChar w:fldCharType="end"/>
          </w:r>
          <w:r>
            <w:t xml:space="preserve"> of </w:t>
          </w:r>
          <w:r>
            <w:fldChar w:fldCharType="begin"/>
          </w:r>
          <w:r>
            <w:instrText>NUMPAGES</w:instrText>
          </w:r>
          <w:r>
            <w:fldChar w:fldCharType="separate"/>
          </w:r>
          <w:r w:rsidR="003D444B">
            <w:rPr>
              <w:noProof/>
            </w:rPr>
            <w:t>2</w:t>
          </w:r>
          <w:r>
            <w:fldChar w:fldCharType="end"/>
          </w:r>
        </w:p>
      </w:tc>
    </w:tr>
  </w:tbl>
  <w:p w14:paraId="503B188F" w14:textId="77777777" w:rsidR="0080317E" w:rsidRDefault="008031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FD401" w14:textId="77777777" w:rsidR="00CB134F" w:rsidRDefault="00CB134F">
      <w:r>
        <w:separator/>
      </w:r>
    </w:p>
  </w:footnote>
  <w:footnote w:type="continuationSeparator" w:id="0">
    <w:p w14:paraId="5D13BD8A" w14:textId="77777777" w:rsidR="00CB134F" w:rsidRDefault="00CB1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80317E" w14:paraId="4CC17DC2" w14:textId="77777777">
      <w:tc>
        <w:tcPr>
          <w:tcW w:w="5000" w:type="pct"/>
          <w:tcBorders>
            <w:top w:val="nil"/>
            <w:left w:val="nil"/>
            <w:bottom w:val="nil"/>
            <w:right w:val="nil"/>
          </w:tcBorders>
          <w:noWrap/>
        </w:tcPr>
        <w:p w14:paraId="57D2CAF8" w14:textId="58569AB9" w:rsidR="0080317E" w:rsidRDefault="0080317E" w:rsidP="003D444B">
          <w:pPr>
            <w:rPr>
              <w:color w:val="000000"/>
            </w:rPr>
          </w:pPr>
        </w:p>
      </w:tc>
    </w:tr>
  </w:tbl>
  <w:p w14:paraId="36026A5F" w14:textId="77777777" w:rsidR="0080317E" w:rsidRDefault="0080317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23AE6"/>
    <w:rsid w:val="00091FBD"/>
    <w:rsid w:val="000F3CCF"/>
    <w:rsid w:val="000F5A57"/>
    <w:rsid w:val="001E26BF"/>
    <w:rsid w:val="001F6D65"/>
    <w:rsid w:val="00237A7E"/>
    <w:rsid w:val="002408D7"/>
    <w:rsid w:val="00250C8A"/>
    <w:rsid w:val="002A3F78"/>
    <w:rsid w:val="002F290D"/>
    <w:rsid w:val="003033E0"/>
    <w:rsid w:val="0039062E"/>
    <w:rsid w:val="003C1B0E"/>
    <w:rsid w:val="003C6154"/>
    <w:rsid w:val="003C755F"/>
    <w:rsid w:val="003D444B"/>
    <w:rsid w:val="004212AE"/>
    <w:rsid w:val="004C189B"/>
    <w:rsid w:val="004D02BB"/>
    <w:rsid w:val="004E6C1C"/>
    <w:rsid w:val="0050124F"/>
    <w:rsid w:val="00510957"/>
    <w:rsid w:val="005678C6"/>
    <w:rsid w:val="00576A58"/>
    <w:rsid w:val="005D3AD7"/>
    <w:rsid w:val="006138C1"/>
    <w:rsid w:val="00662250"/>
    <w:rsid w:val="00673239"/>
    <w:rsid w:val="007467B7"/>
    <w:rsid w:val="00747777"/>
    <w:rsid w:val="0080317E"/>
    <w:rsid w:val="00813C8A"/>
    <w:rsid w:val="00856E72"/>
    <w:rsid w:val="008B47C8"/>
    <w:rsid w:val="00905484"/>
    <w:rsid w:val="00956B99"/>
    <w:rsid w:val="00973EF1"/>
    <w:rsid w:val="00A158DD"/>
    <w:rsid w:val="00A77B3E"/>
    <w:rsid w:val="00AC2B28"/>
    <w:rsid w:val="00AC3E25"/>
    <w:rsid w:val="00AF214B"/>
    <w:rsid w:val="00B47B56"/>
    <w:rsid w:val="00B776F3"/>
    <w:rsid w:val="00C20CF3"/>
    <w:rsid w:val="00C74C36"/>
    <w:rsid w:val="00CA2A55"/>
    <w:rsid w:val="00CA6869"/>
    <w:rsid w:val="00CB134F"/>
    <w:rsid w:val="00CC7B00"/>
    <w:rsid w:val="00CF7027"/>
    <w:rsid w:val="00D43DF1"/>
    <w:rsid w:val="00DE3913"/>
    <w:rsid w:val="00DF635B"/>
    <w:rsid w:val="00E377BF"/>
    <w:rsid w:val="00E44966"/>
    <w:rsid w:val="00E65478"/>
    <w:rsid w:val="00E841E3"/>
    <w:rsid w:val="00E94E3E"/>
    <w:rsid w:val="00ED7ECC"/>
    <w:rsid w:val="00F04282"/>
    <w:rsid w:val="00FE7A0C"/>
    <w:rsid w:val="021278C4"/>
    <w:rsid w:val="03F3CD5D"/>
    <w:rsid w:val="04593008"/>
    <w:rsid w:val="0604BA65"/>
    <w:rsid w:val="06A0D3A8"/>
    <w:rsid w:val="076ACA5B"/>
    <w:rsid w:val="078B2F4B"/>
    <w:rsid w:val="08CC9B41"/>
    <w:rsid w:val="0A5A8E4E"/>
    <w:rsid w:val="0A62B0F2"/>
    <w:rsid w:val="0B2727AD"/>
    <w:rsid w:val="0BF32FF2"/>
    <w:rsid w:val="0C14EC3B"/>
    <w:rsid w:val="0C88A33E"/>
    <w:rsid w:val="0CEBEBA7"/>
    <w:rsid w:val="0E4D6C5C"/>
    <w:rsid w:val="13B1CC84"/>
    <w:rsid w:val="13C34BC1"/>
    <w:rsid w:val="13CB8881"/>
    <w:rsid w:val="143B7326"/>
    <w:rsid w:val="14FD1C3C"/>
    <w:rsid w:val="1587C7FC"/>
    <w:rsid w:val="159CB33F"/>
    <w:rsid w:val="1642C885"/>
    <w:rsid w:val="1789C4C8"/>
    <w:rsid w:val="197AFEB4"/>
    <w:rsid w:val="19A5B511"/>
    <w:rsid w:val="19B23E60"/>
    <w:rsid w:val="19B2750F"/>
    <w:rsid w:val="1CE1D63E"/>
    <w:rsid w:val="1D645323"/>
    <w:rsid w:val="1DB67D87"/>
    <w:rsid w:val="1F9179D8"/>
    <w:rsid w:val="201C6341"/>
    <w:rsid w:val="22C61341"/>
    <w:rsid w:val="23067784"/>
    <w:rsid w:val="23919A34"/>
    <w:rsid w:val="2431B899"/>
    <w:rsid w:val="251A2762"/>
    <w:rsid w:val="2630DC6B"/>
    <w:rsid w:val="27D48CE3"/>
    <w:rsid w:val="28A6928B"/>
    <w:rsid w:val="2C8F839D"/>
    <w:rsid w:val="2CF67CF2"/>
    <w:rsid w:val="2D025468"/>
    <w:rsid w:val="2E10631D"/>
    <w:rsid w:val="2EA39A10"/>
    <w:rsid w:val="310C4963"/>
    <w:rsid w:val="312456F5"/>
    <w:rsid w:val="319C66F8"/>
    <w:rsid w:val="32CB6D77"/>
    <w:rsid w:val="34A9F7DA"/>
    <w:rsid w:val="3586778D"/>
    <w:rsid w:val="3A804773"/>
    <w:rsid w:val="3AF7249F"/>
    <w:rsid w:val="3CB4F0CD"/>
    <w:rsid w:val="3D41B58D"/>
    <w:rsid w:val="3E122A26"/>
    <w:rsid w:val="3FFDAC01"/>
    <w:rsid w:val="4002EFD5"/>
    <w:rsid w:val="4084B37C"/>
    <w:rsid w:val="410013B7"/>
    <w:rsid w:val="4130095A"/>
    <w:rsid w:val="433A772E"/>
    <w:rsid w:val="4477871A"/>
    <w:rsid w:val="48078A72"/>
    <w:rsid w:val="48378380"/>
    <w:rsid w:val="49405EB4"/>
    <w:rsid w:val="4A835EB4"/>
    <w:rsid w:val="4EFD3011"/>
    <w:rsid w:val="4F9E2E61"/>
    <w:rsid w:val="504F9CD8"/>
    <w:rsid w:val="539D5C44"/>
    <w:rsid w:val="54C943A3"/>
    <w:rsid w:val="54D343AA"/>
    <w:rsid w:val="5BD7AD84"/>
    <w:rsid w:val="5C20FEBE"/>
    <w:rsid w:val="5DF091D3"/>
    <w:rsid w:val="5E22261D"/>
    <w:rsid w:val="5F8BDEBE"/>
    <w:rsid w:val="66EC4CED"/>
    <w:rsid w:val="68776E26"/>
    <w:rsid w:val="68AF5911"/>
    <w:rsid w:val="68F719C1"/>
    <w:rsid w:val="69C230D6"/>
    <w:rsid w:val="69CB34FC"/>
    <w:rsid w:val="6A7711AA"/>
    <w:rsid w:val="6B376617"/>
    <w:rsid w:val="6B448DD2"/>
    <w:rsid w:val="701BDC35"/>
    <w:rsid w:val="70D6BD54"/>
    <w:rsid w:val="7208FD4A"/>
    <w:rsid w:val="729175B6"/>
    <w:rsid w:val="73D44601"/>
    <w:rsid w:val="743561CD"/>
    <w:rsid w:val="74B5834E"/>
    <w:rsid w:val="7643AC33"/>
    <w:rsid w:val="76FFF59E"/>
    <w:rsid w:val="7767D84E"/>
    <w:rsid w:val="78A2B4B8"/>
    <w:rsid w:val="79394175"/>
    <w:rsid w:val="7C573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8DEC9"/>
  <w15:docId w15:val="{94522FB0-9B9D-42A4-B80F-B3646CFB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D444B"/>
    <w:pPr>
      <w:tabs>
        <w:tab w:val="center" w:pos="4680"/>
        <w:tab w:val="right" w:pos="9360"/>
      </w:tabs>
    </w:pPr>
  </w:style>
  <w:style w:type="character" w:customStyle="1" w:styleId="HeaderChar">
    <w:name w:val="Header Char"/>
    <w:basedOn w:val="DefaultParagraphFont"/>
    <w:link w:val="Header"/>
    <w:rsid w:val="003D444B"/>
    <w:rPr>
      <w:sz w:val="24"/>
      <w:szCs w:val="24"/>
    </w:rPr>
  </w:style>
  <w:style w:type="paragraph" w:styleId="Footer">
    <w:name w:val="footer"/>
    <w:basedOn w:val="Normal"/>
    <w:link w:val="FooterChar"/>
    <w:rsid w:val="003D444B"/>
    <w:pPr>
      <w:tabs>
        <w:tab w:val="center" w:pos="4680"/>
        <w:tab w:val="right" w:pos="9360"/>
      </w:tabs>
    </w:pPr>
  </w:style>
  <w:style w:type="character" w:customStyle="1" w:styleId="FooterChar">
    <w:name w:val="Footer Char"/>
    <w:basedOn w:val="DefaultParagraphFont"/>
    <w:link w:val="Footer"/>
    <w:rsid w:val="003D444B"/>
    <w:rPr>
      <w:sz w:val="24"/>
      <w:szCs w:val="24"/>
    </w:rPr>
  </w:style>
  <w:style w:type="paragraph" w:styleId="Revision">
    <w:name w:val="Revision"/>
    <w:hidden/>
    <w:uiPriority w:val="99"/>
    <w:semiHidden/>
    <w:rsid w:val="00091FB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D3B99B593B03488EE4F17EC3915500" ma:contentTypeVersion="21" ma:contentTypeDescription="Create a new document." ma:contentTypeScope="" ma:versionID="4a43889dd6784bcc6f502aa52e1d4534">
  <xsd:schema xmlns:xsd="http://www.w3.org/2001/XMLSchema" xmlns:xs="http://www.w3.org/2001/XMLSchema" xmlns:p="http://schemas.microsoft.com/office/2006/metadata/properties" xmlns:ns2="73880f1c-9030-4fc3-ae91-9c598c094142" xmlns:ns3="6d1dde86-196c-4bcc-9560-feab4a4d52ca" targetNamespace="http://schemas.microsoft.com/office/2006/metadata/properties" ma:root="true" ma:fieldsID="ec022ef145e571d2da369c1f75f87958" ns2:_="" ns3:_="">
    <xsd:import namespace="73880f1c-9030-4fc3-ae91-9c598c094142"/>
    <xsd:import namespace="6d1dde86-196c-4bcc-9560-feab4a4d52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YES_x002f_NO" minOccurs="0"/>
                <xsd:element ref="ns2:MediaServiceSearchProperties" minOccurs="0"/>
                <xsd:element ref="ns2:DocumentDescrip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80f1c-9030-4fc3-ae91-9c598c094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82e0c1-59fc-4f79-b4ac-29e829bef9d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YES_x002f_NO" ma:index="24" nillable="true" ma:displayName="YES/NO" ma:default="1" ma:description="Formatted" ma:format="Dropdown" ma:internalName="YES_x002f_NO">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umentDescription" ma:index="26" nillable="true" ma:displayName="Document Description" ma:format="Dropdown" ma:internalName="DocumentDescription">
      <xsd:simpleType>
        <xsd:restriction base="dms:Text">
          <xsd:maxLength value="255"/>
        </xsd:restriction>
      </xsd:simpleType>
    </xsd:element>
    <xsd:element name="NOTES" ma:index="27" nillable="true" ma:displayName="NOTES" ma:format="Dropdown" ma:internalName="NOTE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dde86-196c-4bcc-9560-feab4a4d5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2a1ec13-31e6-415c-8ed0-cb8bb0eab1bf}" ma:internalName="TaxCatchAll" ma:showField="CatchAllData" ma:web="6d1dde86-196c-4bcc-9560-feab4a4d52c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S_x002f_NO xmlns="73880f1c-9030-4fc3-ae91-9c598c094142">true</YES_x002f_NO>
    <TaxCatchAll xmlns="6d1dde86-196c-4bcc-9560-feab4a4d52ca" xsi:nil="true"/>
    <DocumentDescription xmlns="73880f1c-9030-4fc3-ae91-9c598c094142" xsi:nil="true"/>
    <lcf76f155ced4ddcb4097134ff3c332f xmlns="73880f1c-9030-4fc3-ae91-9c598c094142">
      <Terms xmlns="http://schemas.microsoft.com/office/infopath/2007/PartnerControls"/>
    </lcf76f155ced4ddcb4097134ff3c332f>
    <NOTES xmlns="73880f1c-9030-4fc3-ae91-9c598c09414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C20DA8-2299-498A-AA89-1797044D3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80f1c-9030-4fc3-ae91-9c598c094142"/>
    <ds:schemaRef ds:uri="6d1dde86-196c-4bcc-9560-feab4a4d5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CD4089-7750-4D5D-B3F5-9D6344234620}">
  <ds:schemaRefs>
    <ds:schemaRef ds:uri="http://schemas.microsoft.com/office/2006/metadata/properties"/>
    <ds:schemaRef ds:uri="http://schemas.microsoft.com/office/infopath/2007/PartnerControls"/>
    <ds:schemaRef ds:uri="73880f1c-9030-4fc3-ae91-9c598c094142"/>
    <ds:schemaRef ds:uri="6d1dde86-196c-4bcc-9560-feab4a4d52ca"/>
  </ds:schemaRefs>
</ds:datastoreItem>
</file>

<file path=customXml/itemProps3.xml><?xml version="1.0" encoding="utf-8"?>
<ds:datastoreItem xmlns:ds="http://schemas.openxmlformats.org/officeDocument/2006/customXml" ds:itemID="{39716C0A-1234-409F-90ED-007E906976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2954</Words>
  <Characters>16042</Characters>
  <Application>Microsoft Office Word</Application>
  <DocSecurity>0</DocSecurity>
  <Lines>641</Lines>
  <Paragraphs>463</Paragraphs>
  <ScaleCrop>false</ScaleCrop>
  <Company/>
  <LinksUpToDate>false</LinksUpToDate>
  <CharactersWithSpaces>18533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Cilwa</dc:creator>
  <cp:keywords/>
  <cp:lastModifiedBy>Marilyn DeMilta</cp:lastModifiedBy>
  <cp:revision>38</cp:revision>
  <dcterms:created xsi:type="dcterms:W3CDTF">2026-01-14T21:09:00Z</dcterms:created>
  <dcterms:modified xsi:type="dcterms:W3CDTF">2026-01-14T17:13:00Z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0x010100B2D3B99B593B03488EE4F17EC3915500</vt:lpwstr>
  </property>
  <property fmtid="{D5CDD505-2E9C-101B-9397-08002B2CF9AE}" pid="3" name="MediaServiceImageTags">
    <vt:lpwstr/>
  </property>
</Properties>
</file>