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51F41" w14:textId="77777777" w:rsidR="00A77B3E" w:rsidRDefault="00E5255A">
      <w:pPr>
        <w:spacing w:beforeAutospacing="1"/>
        <w:rPr>
          <w:rFonts w:ascii="Calibri" w:eastAsia="Calibri" w:hAnsi="Calibri" w:cs="Calibri"/>
          <w:color w:val="000000"/>
          <w:sz w:val="22"/>
        </w:rPr>
      </w:pPr>
      <w:r>
        <w:rPr>
          <w:rFonts w:ascii="Calibri" w:eastAsia="Calibri" w:hAnsi="Calibri" w:cs="Calibri"/>
          <w:color w:val="000000"/>
          <w:sz w:val="22"/>
        </w:rPr>
        <w:t>Podcast Host:</w:t>
      </w:r>
    </w:p>
    <w:p w14:paraId="4E0CCB9E" w14:textId="1996CECA" w:rsidR="00A77B3E" w:rsidRDefault="00E5255A">
      <w:pPr>
        <w:spacing w:before="80"/>
        <w:rPr>
          <w:rFonts w:ascii="Calibri" w:eastAsia="Calibri" w:hAnsi="Calibri" w:cs="Calibri"/>
          <w:color w:val="000000"/>
          <w:sz w:val="22"/>
        </w:rPr>
      </w:pPr>
      <w:r>
        <w:rPr>
          <w:rFonts w:ascii="Calibri" w:eastAsia="Calibri" w:hAnsi="Calibri" w:cs="Calibri"/>
          <w:color w:val="000000"/>
          <w:sz w:val="22"/>
        </w:rPr>
        <w:t>Welcome back to our series,</w:t>
      </w:r>
      <w:r w:rsidRPr="001B3193">
        <w:rPr>
          <w:rFonts w:ascii="Calibri" w:eastAsia="Calibri" w:hAnsi="Calibri" w:cs="Calibri"/>
          <w:i/>
          <w:iCs/>
          <w:color w:val="000000"/>
          <w:sz w:val="22"/>
        </w:rPr>
        <w:t xml:space="preserve"> Emerging Data and Trends in HR-Positive/HER2-Negative Breast Cancer</w:t>
      </w:r>
      <w:r>
        <w:rPr>
          <w:rFonts w:ascii="Calibri" w:eastAsia="Calibri" w:hAnsi="Calibri" w:cs="Calibri"/>
          <w:color w:val="000000"/>
          <w:sz w:val="22"/>
        </w:rPr>
        <w:t xml:space="preserve">. This is episode </w:t>
      </w:r>
      <w:r w:rsidR="005A7C4E">
        <w:rPr>
          <w:rFonts w:ascii="Calibri" w:eastAsia="Calibri" w:hAnsi="Calibri" w:cs="Calibri"/>
          <w:color w:val="000000"/>
          <w:sz w:val="22"/>
        </w:rPr>
        <w:t xml:space="preserve">2 </w:t>
      </w:r>
      <w:r>
        <w:rPr>
          <w:rFonts w:ascii="Calibri" w:eastAsia="Calibri" w:hAnsi="Calibri" w:cs="Calibri"/>
          <w:color w:val="000000"/>
          <w:sz w:val="22"/>
        </w:rPr>
        <w:t xml:space="preserve">of a </w:t>
      </w:r>
      <w:r w:rsidR="005A7C4E">
        <w:rPr>
          <w:rFonts w:ascii="Calibri" w:eastAsia="Calibri" w:hAnsi="Calibri" w:cs="Calibri"/>
          <w:color w:val="000000"/>
          <w:sz w:val="22"/>
        </w:rPr>
        <w:t>6</w:t>
      </w:r>
      <w:r>
        <w:rPr>
          <w:rFonts w:ascii="Calibri" w:eastAsia="Calibri" w:hAnsi="Calibri" w:cs="Calibri"/>
          <w:color w:val="000000"/>
          <w:sz w:val="22"/>
        </w:rPr>
        <w:t xml:space="preserve">-part series. I have back with me Dr. Seth Wander from the Massachusetts General Hospital in Boston and Dr. Neil Iyengar from the Winship Cancer Institute at Emory University. Both are expert medical oncologists in breast cancer research and care. Welcome back. </w:t>
      </w:r>
      <w:r w:rsidR="00031BAC">
        <w:rPr>
          <w:rFonts w:ascii="Calibri" w:eastAsia="Calibri" w:hAnsi="Calibri" w:cs="Calibri"/>
          <w:color w:val="000000"/>
          <w:sz w:val="22"/>
        </w:rPr>
        <w:br/>
      </w:r>
      <w:r w:rsidR="00031BAC">
        <w:rPr>
          <w:rFonts w:ascii="Calibri" w:eastAsia="Calibri" w:hAnsi="Calibri" w:cs="Calibri"/>
          <w:color w:val="000000"/>
          <w:sz w:val="22"/>
        </w:rPr>
        <w:br/>
      </w:r>
      <w:r>
        <w:rPr>
          <w:rFonts w:ascii="Calibri" w:eastAsia="Calibri" w:hAnsi="Calibri" w:cs="Calibri"/>
          <w:color w:val="000000"/>
          <w:sz w:val="22"/>
        </w:rPr>
        <w:t xml:space="preserve">The last time the </w:t>
      </w:r>
      <w:r w:rsidR="005A7C4E">
        <w:rPr>
          <w:rFonts w:ascii="Calibri" w:eastAsia="Calibri" w:hAnsi="Calibri" w:cs="Calibri"/>
          <w:color w:val="000000"/>
          <w:sz w:val="22"/>
        </w:rPr>
        <w:t xml:space="preserve">3 </w:t>
      </w:r>
      <w:r>
        <w:rPr>
          <w:rFonts w:ascii="Calibri" w:eastAsia="Calibri" w:hAnsi="Calibri" w:cs="Calibri"/>
          <w:color w:val="000000"/>
          <w:sz w:val="22"/>
        </w:rPr>
        <w:t xml:space="preserve">of us were together for episode 1 of our podcast series, we discussed long-term analysis of CDK4/6 inhibitors in early HR-positive/HER2-negative breast cancer with a high risk of recurrence. And in that episode, we shared some exciting new data that debuted at ESMO that looked at overall survival analyses as well as some other extended long-term results from the </w:t>
      </w:r>
      <w:proofErr w:type="spellStart"/>
      <w:r w:rsidR="00B17712">
        <w:rPr>
          <w:rFonts w:ascii="Calibri" w:eastAsia="Calibri" w:hAnsi="Calibri" w:cs="Calibri"/>
          <w:color w:val="000000"/>
          <w:sz w:val="22"/>
        </w:rPr>
        <w:t>MonarchE</w:t>
      </w:r>
      <w:proofErr w:type="spellEnd"/>
      <w:r>
        <w:rPr>
          <w:rFonts w:ascii="Calibri" w:eastAsia="Calibri" w:hAnsi="Calibri" w:cs="Calibri"/>
          <w:color w:val="000000"/>
          <w:sz w:val="22"/>
        </w:rPr>
        <w:t xml:space="preserve"> and NATAL</w:t>
      </w:r>
      <w:r w:rsidR="005A7C4E">
        <w:rPr>
          <w:rFonts w:ascii="Calibri" w:eastAsia="Calibri" w:hAnsi="Calibri" w:cs="Calibri"/>
          <w:color w:val="000000"/>
          <w:sz w:val="22"/>
        </w:rPr>
        <w:t>EE</w:t>
      </w:r>
      <w:r>
        <w:rPr>
          <w:rFonts w:ascii="Calibri" w:eastAsia="Calibri" w:hAnsi="Calibri" w:cs="Calibri"/>
          <w:color w:val="000000"/>
          <w:sz w:val="22"/>
        </w:rPr>
        <w:t xml:space="preserve"> trials. So inviting our listeners, if they didn't get a chance to listen to that episode, definitely worth checking out.</w:t>
      </w:r>
    </w:p>
    <w:p w14:paraId="5BEC3F6B" w14:textId="39E98679" w:rsidR="00A77B3E" w:rsidRDefault="00E5255A">
      <w:pPr>
        <w:spacing w:before="80"/>
        <w:rPr>
          <w:rFonts w:ascii="Calibri" w:eastAsia="Calibri" w:hAnsi="Calibri" w:cs="Calibri"/>
          <w:color w:val="000000"/>
          <w:sz w:val="22"/>
        </w:rPr>
      </w:pPr>
      <w:r>
        <w:rPr>
          <w:rFonts w:ascii="Calibri" w:eastAsia="Calibri" w:hAnsi="Calibri" w:cs="Calibri"/>
          <w:color w:val="000000"/>
          <w:sz w:val="22"/>
        </w:rPr>
        <w:t xml:space="preserve">But each of those trials examined the use of CDK4/6 </w:t>
      </w:r>
      <w:proofErr w:type="gramStart"/>
      <w:r>
        <w:rPr>
          <w:rFonts w:ascii="Calibri" w:eastAsia="Calibri" w:hAnsi="Calibri" w:cs="Calibri"/>
          <w:color w:val="000000"/>
          <w:sz w:val="22"/>
        </w:rPr>
        <w:t>inhibitor</w:t>
      </w:r>
      <w:r w:rsidR="00B17712">
        <w:rPr>
          <w:rFonts w:ascii="Calibri" w:eastAsia="Calibri" w:hAnsi="Calibri" w:cs="Calibri"/>
          <w:color w:val="000000"/>
          <w:sz w:val="22"/>
        </w:rPr>
        <w:t xml:space="preserve"> </w:t>
      </w:r>
      <w:r>
        <w:rPr>
          <w:rFonts w:ascii="Calibri" w:eastAsia="Calibri" w:hAnsi="Calibri" w:cs="Calibri"/>
          <w:color w:val="000000"/>
          <w:sz w:val="22"/>
        </w:rPr>
        <w:t xml:space="preserve"> </w:t>
      </w:r>
      <w:r w:rsidR="00B17712">
        <w:rPr>
          <w:rFonts w:ascii="Calibri" w:eastAsia="Calibri" w:hAnsi="Calibri" w:cs="Calibri"/>
          <w:color w:val="000000"/>
          <w:sz w:val="22"/>
        </w:rPr>
        <w:t>̶</w:t>
      </w:r>
      <w:proofErr w:type="gramEnd"/>
      <w:r w:rsidR="00B17712">
        <w:rPr>
          <w:rFonts w:ascii="Calibri" w:eastAsia="Calibri" w:hAnsi="Calibri" w:cs="Calibri"/>
          <w:color w:val="000000"/>
          <w:sz w:val="22"/>
        </w:rPr>
        <w:t xml:space="preserve">  </w:t>
      </w:r>
      <w:proofErr w:type="spellStart"/>
      <w:r>
        <w:rPr>
          <w:rFonts w:ascii="Calibri" w:eastAsia="Calibri" w:hAnsi="Calibri" w:cs="Calibri"/>
          <w:color w:val="000000"/>
          <w:sz w:val="22"/>
        </w:rPr>
        <w:t>abemaciclib</w:t>
      </w:r>
      <w:proofErr w:type="spellEnd"/>
      <w:r>
        <w:rPr>
          <w:rFonts w:ascii="Calibri" w:eastAsia="Calibri" w:hAnsi="Calibri" w:cs="Calibri"/>
          <w:color w:val="000000"/>
          <w:sz w:val="22"/>
        </w:rPr>
        <w:t xml:space="preserve"> for the </w:t>
      </w:r>
      <w:proofErr w:type="spellStart"/>
      <w:r w:rsidR="00B17712">
        <w:rPr>
          <w:rFonts w:ascii="Calibri" w:eastAsia="Calibri" w:hAnsi="Calibri" w:cs="Calibri"/>
          <w:color w:val="000000"/>
          <w:sz w:val="22"/>
        </w:rPr>
        <w:t>m</w:t>
      </w:r>
      <w:r>
        <w:rPr>
          <w:rFonts w:ascii="Calibri" w:eastAsia="Calibri" w:hAnsi="Calibri" w:cs="Calibri"/>
          <w:color w:val="000000"/>
          <w:sz w:val="22"/>
        </w:rPr>
        <w:t>onarchE</w:t>
      </w:r>
      <w:proofErr w:type="spellEnd"/>
      <w:r>
        <w:rPr>
          <w:rFonts w:ascii="Calibri" w:eastAsia="Calibri" w:hAnsi="Calibri" w:cs="Calibri"/>
          <w:color w:val="000000"/>
          <w:sz w:val="22"/>
        </w:rPr>
        <w:t xml:space="preserve"> trial and </w:t>
      </w:r>
      <w:proofErr w:type="spellStart"/>
      <w:r>
        <w:rPr>
          <w:rFonts w:ascii="Calibri" w:eastAsia="Calibri" w:hAnsi="Calibri" w:cs="Calibri"/>
          <w:color w:val="000000"/>
          <w:sz w:val="22"/>
        </w:rPr>
        <w:t>ribociclib</w:t>
      </w:r>
      <w:proofErr w:type="spellEnd"/>
      <w:r>
        <w:rPr>
          <w:rFonts w:ascii="Calibri" w:eastAsia="Calibri" w:hAnsi="Calibri" w:cs="Calibri"/>
          <w:color w:val="000000"/>
          <w:sz w:val="22"/>
        </w:rPr>
        <w:t xml:space="preserve"> for the NATAL</w:t>
      </w:r>
      <w:r w:rsidR="005A7C4E">
        <w:rPr>
          <w:rFonts w:ascii="Calibri" w:eastAsia="Calibri" w:hAnsi="Calibri" w:cs="Calibri"/>
          <w:color w:val="000000"/>
          <w:sz w:val="22"/>
        </w:rPr>
        <w:t>EE</w:t>
      </w:r>
      <w:r>
        <w:rPr>
          <w:rFonts w:ascii="Calibri" w:eastAsia="Calibri" w:hAnsi="Calibri" w:cs="Calibri"/>
          <w:color w:val="000000"/>
          <w:sz w:val="22"/>
        </w:rPr>
        <w:t xml:space="preserve"> </w:t>
      </w:r>
      <w:proofErr w:type="gramStart"/>
      <w:r>
        <w:rPr>
          <w:rFonts w:ascii="Calibri" w:eastAsia="Calibri" w:hAnsi="Calibri" w:cs="Calibri"/>
          <w:color w:val="000000"/>
          <w:sz w:val="22"/>
        </w:rPr>
        <w:t>trial</w:t>
      </w:r>
      <w:r w:rsidR="00031BAC">
        <w:rPr>
          <w:rFonts w:ascii="Calibri" w:eastAsia="Calibri" w:hAnsi="Calibri" w:cs="Calibri"/>
          <w:color w:val="000000"/>
          <w:sz w:val="22"/>
        </w:rPr>
        <w:t xml:space="preserve"> </w:t>
      </w:r>
      <w:r w:rsidR="00B17712">
        <w:rPr>
          <w:rFonts w:ascii="Calibri" w:eastAsia="Calibri" w:hAnsi="Calibri" w:cs="Calibri"/>
          <w:color w:val="000000"/>
          <w:sz w:val="22"/>
        </w:rPr>
        <w:t xml:space="preserve"> ̶</w:t>
      </w:r>
      <w:proofErr w:type="gramEnd"/>
      <w:r w:rsidR="00B17712">
        <w:rPr>
          <w:rFonts w:ascii="Calibri" w:eastAsia="Calibri" w:hAnsi="Calibri" w:cs="Calibri"/>
          <w:color w:val="000000"/>
          <w:sz w:val="22"/>
        </w:rPr>
        <w:t xml:space="preserve">  </w:t>
      </w:r>
      <w:r>
        <w:rPr>
          <w:rFonts w:ascii="Calibri" w:eastAsia="Calibri" w:hAnsi="Calibri" w:cs="Calibri"/>
          <w:color w:val="000000"/>
          <w:sz w:val="22"/>
        </w:rPr>
        <w:t>and these were used in combination with endocrine therapy. So today, we're actually going to be discussing balancing efficacy and quality of life during maintenance endocrine therapy with our adjuvant CDK inhibitor treatment. So to start us off, for your patients with early HR-positive/HER2-negative breast cancer, they've made it through surgery and chemo or radiation, and now they're beginning endocrine therapy along with our adjuvant CDK4/6 inhibitor of choice. What are the common side effects you're on the lookout for?</w:t>
      </w:r>
    </w:p>
    <w:p w14:paraId="1149CF9B" w14:textId="77777777" w:rsidR="00A77B3E" w:rsidRDefault="00E5255A">
      <w:pPr>
        <w:spacing w:beforeAutospacing="1"/>
        <w:rPr>
          <w:rFonts w:ascii="Calibri" w:eastAsia="Calibri" w:hAnsi="Calibri" w:cs="Calibri"/>
          <w:color w:val="000000"/>
          <w:sz w:val="22"/>
        </w:rPr>
      </w:pPr>
      <w:r>
        <w:rPr>
          <w:rFonts w:ascii="Calibri" w:eastAsia="Calibri" w:hAnsi="Calibri" w:cs="Calibri"/>
          <w:color w:val="000000"/>
          <w:sz w:val="22"/>
        </w:rPr>
        <w:t>Seth Wander, MD:</w:t>
      </w:r>
    </w:p>
    <w:p w14:paraId="57AE17B8" w14:textId="4ED898F0" w:rsidR="00A77B3E" w:rsidRDefault="00E5255A">
      <w:pPr>
        <w:spacing w:before="80"/>
        <w:rPr>
          <w:rFonts w:ascii="Calibri" w:eastAsia="Calibri" w:hAnsi="Calibri" w:cs="Calibri"/>
          <w:color w:val="000000"/>
          <w:sz w:val="22"/>
        </w:rPr>
      </w:pPr>
      <w:r>
        <w:rPr>
          <w:rFonts w:ascii="Calibri" w:eastAsia="Calibri" w:hAnsi="Calibri" w:cs="Calibri"/>
          <w:color w:val="000000"/>
          <w:sz w:val="22"/>
        </w:rPr>
        <w:t xml:space="preserve">Yeah, my pleasure. I think </w:t>
      </w:r>
      <w:r w:rsidR="005A7C4E">
        <w:rPr>
          <w:rFonts w:ascii="Calibri" w:eastAsia="Calibri" w:hAnsi="Calibri" w:cs="Calibri"/>
          <w:color w:val="000000"/>
          <w:sz w:val="22"/>
        </w:rPr>
        <w:t xml:space="preserve">1 </w:t>
      </w:r>
      <w:r>
        <w:rPr>
          <w:rFonts w:ascii="Calibri" w:eastAsia="Calibri" w:hAnsi="Calibri" w:cs="Calibri"/>
          <w:color w:val="000000"/>
          <w:sz w:val="22"/>
        </w:rPr>
        <w:t>of the advantages we have here, and I think Neil would agree on this, is most of the side effects luckily between optimal anti</w:t>
      </w:r>
      <w:r w:rsidR="005A7C4E">
        <w:rPr>
          <w:rFonts w:ascii="Calibri" w:eastAsia="Calibri" w:hAnsi="Calibri" w:cs="Calibri"/>
          <w:color w:val="000000"/>
          <w:sz w:val="22"/>
        </w:rPr>
        <w:t>-</w:t>
      </w:r>
      <w:r>
        <w:rPr>
          <w:rFonts w:ascii="Calibri" w:eastAsia="Calibri" w:hAnsi="Calibri" w:cs="Calibri"/>
          <w:color w:val="000000"/>
          <w:sz w:val="22"/>
        </w:rPr>
        <w:t>estrogen therapy and CDK4/6 blockade are not overlapping. So from a broad painting up with a broad brush here with anti</w:t>
      </w:r>
      <w:r w:rsidR="005A7C4E">
        <w:rPr>
          <w:rFonts w:ascii="Calibri" w:eastAsia="Calibri" w:hAnsi="Calibri" w:cs="Calibri"/>
          <w:color w:val="000000"/>
          <w:sz w:val="22"/>
        </w:rPr>
        <w:t>-</w:t>
      </w:r>
      <w:r>
        <w:rPr>
          <w:rFonts w:ascii="Calibri" w:eastAsia="Calibri" w:hAnsi="Calibri" w:cs="Calibri"/>
          <w:color w:val="000000"/>
          <w:sz w:val="22"/>
        </w:rPr>
        <w:t>estrogen therapy, whether that be tamoxifen or ovarian suppression with an aromatase inhibitor, we see menopausal-type symptoms. We can see some fatigue. We can see mostly with the aromatase inhibitors some arthralgia, muscle and joint discomfort, occasionally hair thinning, and these are things we've been dealing with clinically for decades. And so we have lots of experience and lots of tricks that we can use to help patients navigate that, setting expectations early so that patients aren't surprised, and talking about some of the strategies we can use to reduce the impact of all of these symptoms</w:t>
      </w:r>
      <w:r w:rsidR="005A7C4E">
        <w:rPr>
          <w:rFonts w:ascii="Calibri" w:eastAsia="Calibri" w:hAnsi="Calibri" w:cs="Calibri"/>
          <w:color w:val="000000"/>
          <w:sz w:val="22"/>
        </w:rPr>
        <w:t>,</w:t>
      </w:r>
      <w:r>
        <w:rPr>
          <w:rFonts w:ascii="Calibri" w:eastAsia="Calibri" w:hAnsi="Calibri" w:cs="Calibri"/>
          <w:color w:val="000000"/>
          <w:sz w:val="22"/>
        </w:rPr>
        <w:t xml:space="preserve"> I think is critically important.</w:t>
      </w:r>
    </w:p>
    <w:p w14:paraId="4CD0C057" w14:textId="729E68A5" w:rsidR="00A77B3E" w:rsidRDefault="00E5255A">
      <w:pPr>
        <w:spacing w:before="80"/>
        <w:rPr>
          <w:rFonts w:ascii="Calibri" w:eastAsia="Calibri" w:hAnsi="Calibri" w:cs="Calibri"/>
          <w:color w:val="000000"/>
          <w:sz w:val="22"/>
        </w:rPr>
      </w:pPr>
      <w:r>
        <w:rPr>
          <w:rFonts w:ascii="Calibri" w:eastAsia="Calibri" w:hAnsi="Calibri" w:cs="Calibri"/>
          <w:color w:val="000000"/>
          <w:sz w:val="22"/>
        </w:rPr>
        <w:t>With the CDK4/6 inhibitors, in general, we see some overlapping toxicity between the</w:t>
      </w:r>
      <w:r w:rsidR="005A7C4E">
        <w:rPr>
          <w:rFonts w:ascii="Calibri" w:eastAsia="Calibri" w:hAnsi="Calibri" w:cs="Calibri"/>
          <w:color w:val="000000"/>
          <w:sz w:val="22"/>
        </w:rPr>
        <w:t xml:space="preserve"> 2</w:t>
      </w:r>
      <w:r>
        <w:rPr>
          <w:rFonts w:ascii="Calibri" w:eastAsia="Calibri" w:hAnsi="Calibri" w:cs="Calibri"/>
          <w:color w:val="000000"/>
          <w:sz w:val="22"/>
        </w:rPr>
        <w:t xml:space="preserve"> of them, ribociclib and abemaciclib, mostly involving cytopenia. This is perhaps a little bit more common with ribociclib, and this requires really some intensive lab monitoring, which can be difficult for patients. They've been through </w:t>
      </w:r>
      <w:proofErr w:type="gramStart"/>
      <w:r>
        <w:rPr>
          <w:rFonts w:ascii="Calibri" w:eastAsia="Calibri" w:hAnsi="Calibri" w:cs="Calibri"/>
          <w:color w:val="000000"/>
          <w:sz w:val="22"/>
        </w:rPr>
        <w:t>surgery,</w:t>
      </w:r>
      <w:proofErr w:type="gramEnd"/>
      <w:r>
        <w:rPr>
          <w:rFonts w:ascii="Calibri" w:eastAsia="Calibri" w:hAnsi="Calibri" w:cs="Calibri"/>
          <w:color w:val="000000"/>
          <w:sz w:val="22"/>
        </w:rPr>
        <w:t xml:space="preserve"> they've been through radiation. In many cases, they've been through chemotherapy, and now we're adding potentially twice-a-month and then once-a-month lab monitoring with visits, but these tend not to cause a lot of subjective symptoms, maybe with the exception of, for example, fatigue. This tends to be a laboratory-based issue, </w:t>
      </w:r>
      <w:proofErr w:type="gramStart"/>
      <w:r>
        <w:rPr>
          <w:rFonts w:ascii="Calibri" w:eastAsia="Calibri" w:hAnsi="Calibri" w:cs="Calibri"/>
          <w:color w:val="000000"/>
          <w:sz w:val="22"/>
        </w:rPr>
        <w:t>higher</w:t>
      </w:r>
      <w:proofErr w:type="gramEnd"/>
      <w:r>
        <w:rPr>
          <w:rFonts w:ascii="Calibri" w:eastAsia="Calibri" w:hAnsi="Calibri" w:cs="Calibri"/>
          <w:color w:val="000000"/>
          <w:sz w:val="22"/>
        </w:rPr>
        <w:t xml:space="preserve"> rat</w:t>
      </w:r>
      <w:r w:rsidR="005A7C4E">
        <w:rPr>
          <w:rFonts w:ascii="Calibri" w:eastAsia="Calibri" w:hAnsi="Calibri" w:cs="Calibri"/>
          <w:color w:val="000000"/>
          <w:sz w:val="22"/>
        </w:rPr>
        <w:t>e</w:t>
      </w:r>
      <w:r>
        <w:rPr>
          <w:rFonts w:ascii="Calibri" w:eastAsia="Calibri" w:hAnsi="Calibri" w:cs="Calibri"/>
          <w:color w:val="000000"/>
          <w:sz w:val="22"/>
        </w:rPr>
        <w:t>s of GI-related toxicity with abemaciclib. It's about setting the stage for what the monitoring plan is going to be, setting expectations, and what we can do to reduce the risk of these symptoms. For example, managing GI toxicity or managing fatigue and hot flashes with the aromatase inhibitors.</w:t>
      </w:r>
    </w:p>
    <w:p w14:paraId="7F6FA2EB" w14:textId="77777777" w:rsidR="00A77B3E" w:rsidRDefault="00E5255A">
      <w:pPr>
        <w:spacing w:beforeAutospacing="1"/>
        <w:rPr>
          <w:rFonts w:ascii="Calibri" w:eastAsia="Calibri" w:hAnsi="Calibri" w:cs="Calibri"/>
          <w:color w:val="000000"/>
          <w:sz w:val="22"/>
        </w:rPr>
      </w:pPr>
      <w:r>
        <w:rPr>
          <w:rFonts w:ascii="Calibri" w:eastAsia="Calibri" w:hAnsi="Calibri" w:cs="Calibri"/>
          <w:color w:val="000000"/>
          <w:sz w:val="22"/>
        </w:rPr>
        <w:t>Neil Iyengar, MD:</w:t>
      </w:r>
    </w:p>
    <w:p w14:paraId="78C9FEFD" w14:textId="17AAB84C" w:rsidR="00A77B3E" w:rsidRDefault="00E5255A">
      <w:pPr>
        <w:spacing w:before="80"/>
        <w:rPr>
          <w:rFonts w:ascii="Calibri" w:eastAsia="Calibri" w:hAnsi="Calibri" w:cs="Calibri"/>
          <w:color w:val="000000"/>
          <w:sz w:val="22"/>
        </w:rPr>
      </w:pP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I think Seth did a really nice job outlining the AEs just in general associated with the class and pointing out some of the differences between the </w:t>
      </w:r>
      <w:r w:rsidR="005A7C4E">
        <w:rPr>
          <w:rFonts w:ascii="Calibri" w:eastAsia="Calibri" w:hAnsi="Calibri" w:cs="Calibri"/>
          <w:color w:val="000000"/>
          <w:sz w:val="22"/>
        </w:rPr>
        <w:t xml:space="preserve">2 </w:t>
      </w:r>
      <w:r>
        <w:rPr>
          <w:rFonts w:ascii="Calibri" w:eastAsia="Calibri" w:hAnsi="Calibri" w:cs="Calibri"/>
          <w:color w:val="000000"/>
          <w:sz w:val="22"/>
        </w:rPr>
        <w:t xml:space="preserve">CDK4/6 inhibitors, and we know that diarrhea is typically the most common reason for dose modification or interruption or discontinuation with abemaciclib. Fortunately, we do have management </w:t>
      </w:r>
      <w:proofErr w:type="gramStart"/>
      <w:r>
        <w:rPr>
          <w:rFonts w:ascii="Calibri" w:eastAsia="Calibri" w:hAnsi="Calibri" w:cs="Calibri"/>
          <w:color w:val="000000"/>
          <w:sz w:val="22"/>
        </w:rPr>
        <w:t>strategies</w:t>
      </w:r>
      <w:proofErr w:type="gramEnd"/>
      <w:r>
        <w:rPr>
          <w:rFonts w:ascii="Calibri" w:eastAsia="Calibri" w:hAnsi="Calibri" w:cs="Calibri"/>
          <w:color w:val="000000"/>
          <w:sz w:val="22"/>
        </w:rPr>
        <w:t xml:space="preserve"> and </w:t>
      </w:r>
      <w:proofErr w:type="gramStart"/>
      <w:r>
        <w:rPr>
          <w:rFonts w:ascii="Calibri" w:eastAsia="Calibri" w:hAnsi="Calibri" w:cs="Calibri"/>
          <w:color w:val="000000"/>
          <w:sz w:val="22"/>
        </w:rPr>
        <w:t>the diarrhea</w:t>
      </w:r>
      <w:proofErr w:type="gramEnd"/>
      <w:r>
        <w:rPr>
          <w:rFonts w:ascii="Calibri" w:eastAsia="Calibri" w:hAnsi="Calibri" w:cs="Calibri"/>
          <w:color w:val="000000"/>
          <w:sz w:val="22"/>
        </w:rPr>
        <w:t xml:space="preserve"> tends to be early-grade </w:t>
      </w:r>
      <w:r>
        <w:rPr>
          <w:rFonts w:ascii="Calibri" w:eastAsia="Calibri" w:hAnsi="Calibri" w:cs="Calibri"/>
          <w:color w:val="000000"/>
          <w:sz w:val="22"/>
        </w:rPr>
        <w:lastRenderedPageBreak/>
        <w:t>and manageable as long as we're proactive about it. We don't see as much diarrhea as Seth mentioned or GI toxicity with ribociclib, but certainly the trade-off there is neutropenia and we see more neutropenia associated with ribociclib, but we do see neutropenia associated with abemaciclib as well. And this is something that we have to keep an eye on. Or the more common adverse effects in terms of diarrhea and neutropenia, we'll go through the management strategies, and I'll be interested, Seth, to hear some of your unique pearls in terms of how you manage these.</w:t>
      </w:r>
    </w:p>
    <w:p w14:paraId="78482638" w14:textId="77777777" w:rsidR="00A77B3E" w:rsidRDefault="00E5255A">
      <w:pPr>
        <w:spacing w:before="80"/>
        <w:rPr>
          <w:rFonts w:ascii="Calibri" w:eastAsia="Calibri" w:hAnsi="Calibri" w:cs="Calibri"/>
          <w:color w:val="000000"/>
          <w:sz w:val="22"/>
        </w:rPr>
      </w:pPr>
      <w:r>
        <w:rPr>
          <w:rFonts w:ascii="Calibri" w:eastAsia="Calibri" w:hAnsi="Calibri" w:cs="Calibri"/>
          <w:color w:val="000000"/>
          <w:sz w:val="22"/>
        </w:rPr>
        <w:t>But I think certainly we need to be proactive, manage upfront, educate our patients. And for those of you who've heard me before, I can't let go of an opportunity to emphasize how important lifestyle modification is for our patients, especially in the curative setting where we've seen lifestyle interventions, diet, exercise can certainly improve comorbidities that are more common in breast cancer survivors like diabetes and cardiovascular disorders. But we're also seeing emerging evidence that lifestyle intervention can help with tolerability of adjuvant therapy, certainly adjuvant endocrine therapy.</w:t>
      </w:r>
    </w:p>
    <w:p w14:paraId="02EF2B5B" w14:textId="37ACD5AD" w:rsidR="00A77B3E" w:rsidRDefault="00E5255A">
      <w:pPr>
        <w:spacing w:before="80"/>
        <w:rPr>
          <w:rFonts w:ascii="Calibri" w:eastAsia="Calibri" w:hAnsi="Calibri" w:cs="Calibri"/>
          <w:color w:val="000000"/>
          <w:sz w:val="22"/>
        </w:rPr>
      </w:pPr>
      <w:r>
        <w:rPr>
          <w:rFonts w:ascii="Calibri" w:eastAsia="Calibri" w:hAnsi="Calibri" w:cs="Calibri"/>
          <w:color w:val="000000"/>
          <w:sz w:val="22"/>
        </w:rPr>
        <w:t>Perhaps the only effective treatment for fatigue, for example, is exercise. And in the setting of colon cancer data, the CHALLENGE trial where we saw an overall and disease-specific survival benefit associated with exercise in the adjuvant setting, we're anticipating and hoping for similar data in the breast cancer setting. So I have to make a plug for counseling our patients to participate in exercise programming, to address lifestyle interventions, health</w:t>
      </w:r>
      <w:r w:rsidR="005A7C4E">
        <w:rPr>
          <w:rFonts w:ascii="Calibri" w:eastAsia="Calibri" w:hAnsi="Calibri" w:cs="Calibri"/>
          <w:color w:val="000000"/>
          <w:sz w:val="22"/>
        </w:rPr>
        <w:t>y</w:t>
      </w:r>
      <w:r>
        <w:rPr>
          <w:rFonts w:ascii="Calibri" w:eastAsia="Calibri" w:hAnsi="Calibri" w:cs="Calibri"/>
          <w:color w:val="000000"/>
          <w:sz w:val="22"/>
        </w:rPr>
        <w:t xml:space="preserve"> eating, and so forth because not only that may help with the AEs associated with endocrine therapy and CDK4/6 inhibitors, but it may also ultimately help with long-term outcomes as well.</w:t>
      </w:r>
    </w:p>
    <w:p w14:paraId="2C5F0306" w14:textId="77777777" w:rsidR="00A77B3E" w:rsidRDefault="00E5255A">
      <w:pPr>
        <w:spacing w:beforeAutospacing="1"/>
        <w:rPr>
          <w:rFonts w:ascii="Calibri" w:eastAsia="Calibri" w:hAnsi="Calibri" w:cs="Calibri"/>
          <w:color w:val="000000"/>
          <w:sz w:val="22"/>
        </w:rPr>
      </w:pPr>
      <w:r>
        <w:rPr>
          <w:rFonts w:ascii="Calibri" w:eastAsia="Calibri" w:hAnsi="Calibri" w:cs="Calibri"/>
          <w:color w:val="000000"/>
          <w:sz w:val="22"/>
        </w:rPr>
        <w:t>Podcast Host:</w:t>
      </w:r>
    </w:p>
    <w:p w14:paraId="5403C32A" w14:textId="77777777" w:rsidR="00A77B3E" w:rsidRDefault="00E5255A">
      <w:pPr>
        <w:spacing w:before="80"/>
        <w:rPr>
          <w:rFonts w:ascii="Calibri" w:eastAsia="Calibri" w:hAnsi="Calibri" w:cs="Calibri"/>
          <w:color w:val="000000"/>
          <w:sz w:val="22"/>
        </w:rPr>
      </w:pPr>
      <w:r>
        <w:rPr>
          <w:rFonts w:ascii="Calibri" w:eastAsia="Calibri" w:hAnsi="Calibri" w:cs="Calibri"/>
          <w:color w:val="000000"/>
          <w:sz w:val="22"/>
        </w:rPr>
        <w:t>So you both brought up some really important points for our listeners, and in our next episode, we're going to discuss those modification strategies as another way to manage CDK4/6 inhibitor side effects. But for now, are there any closing thoughts or key takeaways you want our listeners to remember from today's discussions?</w:t>
      </w:r>
    </w:p>
    <w:p w14:paraId="2F6305C4" w14:textId="77777777" w:rsidR="00A77B3E" w:rsidRDefault="00E5255A">
      <w:pPr>
        <w:spacing w:beforeAutospacing="1"/>
        <w:rPr>
          <w:rFonts w:ascii="Calibri" w:eastAsia="Calibri" w:hAnsi="Calibri" w:cs="Calibri"/>
          <w:color w:val="000000"/>
          <w:sz w:val="22"/>
        </w:rPr>
      </w:pPr>
      <w:r>
        <w:rPr>
          <w:rFonts w:ascii="Calibri" w:eastAsia="Calibri" w:hAnsi="Calibri" w:cs="Calibri"/>
          <w:color w:val="000000"/>
          <w:sz w:val="22"/>
        </w:rPr>
        <w:t>Seth Wander, MD:</w:t>
      </w:r>
    </w:p>
    <w:p w14:paraId="04E0EC13" w14:textId="70F6E44D" w:rsidR="00A77B3E" w:rsidRDefault="00E5255A">
      <w:pPr>
        <w:spacing w:before="80"/>
        <w:rPr>
          <w:rFonts w:ascii="Calibri" w:eastAsia="Calibri" w:hAnsi="Calibri" w:cs="Calibri"/>
          <w:color w:val="000000"/>
          <w:sz w:val="22"/>
        </w:rPr>
      </w:pPr>
      <w:r>
        <w:rPr>
          <w:rFonts w:ascii="Calibri" w:eastAsia="Calibri" w:hAnsi="Calibri" w:cs="Calibri"/>
          <w:color w:val="000000"/>
          <w:sz w:val="22"/>
        </w:rPr>
        <w:t xml:space="preserve">My last comment would just be to think about the entire picture, where the patient's starting off, what their priorities are, what their medical comorbidities are, what sort of lifestyle interventions and modifications we can suggest or encourage. This is a maintenance plan, so we want patients to be able to stay on these medications for the full duration, in the case of the CDK inhibitor, </w:t>
      </w:r>
      <w:r w:rsidR="005A7C4E">
        <w:rPr>
          <w:rFonts w:ascii="Calibri" w:eastAsia="Calibri" w:hAnsi="Calibri" w:cs="Calibri"/>
          <w:color w:val="000000"/>
          <w:sz w:val="22"/>
        </w:rPr>
        <w:t xml:space="preserve">2 </w:t>
      </w:r>
      <w:r>
        <w:rPr>
          <w:rFonts w:ascii="Calibri" w:eastAsia="Calibri" w:hAnsi="Calibri" w:cs="Calibri"/>
          <w:color w:val="000000"/>
          <w:sz w:val="22"/>
        </w:rPr>
        <w:t xml:space="preserve">to </w:t>
      </w:r>
      <w:r w:rsidR="005A7C4E">
        <w:rPr>
          <w:rFonts w:ascii="Calibri" w:eastAsia="Calibri" w:hAnsi="Calibri" w:cs="Calibri"/>
          <w:color w:val="000000"/>
          <w:sz w:val="22"/>
        </w:rPr>
        <w:t xml:space="preserve">3 </w:t>
      </w:r>
      <w:r>
        <w:rPr>
          <w:rFonts w:ascii="Calibri" w:eastAsia="Calibri" w:hAnsi="Calibri" w:cs="Calibri"/>
          <w:color w:val="000000"/>
          <w:sz w:val="22"/>
        </w:rPr>
        <w:t>years.</w:t>
      </w:r>
    </w:p>
    <w:p w14:paraId="43CD4D66" w14:textId="77777777" w:rsidR="00A77B3E" w:rsidRDefault="00E5255A">
      <w:pPr>
        <w:spacing w:beforeAutospacing="1"/>
        <w:rPr>
          <w:rFonts w:ascii="Calibri" w:eastAsia="Calibri" w:hAnsi="Calibri" w:cs="Calibri"/>
          <w:color w:val="000000"/>
          <w:sz w:val="22"/>
        </w:rPr>
      </w:pPr>
      <w:r>
        <w:rPr>
          <w:rFonts w:ascii="Calibri" w:eastAsia="Calibri" w:hAnsi="Calibri" w:cs="Calibri"/>
          <w:color w:val="000000"/>
          <w:sz w:val="22"/>
        </w:rPr>
        <w:t>Neil Iyengar, MD:</w:t>
      </w:r>
    </w:p>
    <w:p w14:paraId="361F1A3F" w14:textId="2C788C95" w:rsidR="00A77B3E" w:rsidRDefault="00E5255A">
      <w:pPr>
        <w:spacing w:before="80"/>
        <w:rPr>
          <w:rFonts w:ascii="Calibri" w:eastAsia="Calibri" w:hAnsi="Calibri" w:cs="Calibri"/>
          <w:color w:val="000000"/>
          <w:sz w:val="22"/>
        </w:rPr>
      </w:pPr>
      <w:r>
        <w:rPr>
          <w:rFonts w:ascii="Calibri" w:eastAsia="Calibri" w:hAnsi="Calibri" w:cs="Calibri"/>
          <w:color w:val="000000"/>
          <w:sz w:val="22"/>
        </w:rPr>
        <w:t>I think I'll take this opportunity to reiterate a point that you made, and that is essentially the long-term nature of these therapies as we're starting to see it, continue to see, I should say, younger</w:t>
      </w:r>
      <w:r w:rsidR="005A7C4E">
        <w:rPr>
          <w:rFonts w:ascii="Calibri" w:eastAsia="Calibri" w:hAnsi="Calibri" w:cs="Calibri"/>
          <w:color w:val="000000"/>
          <w:sz w:val="22"/>
        </w:rPr>
        <w:t>-</w:t>
      </w:r>
      <w:r>
        <w:rPr>
          <w:rFonts w:ascii="Calibri" w:eastAsia="Calibri" w:hAnsi="Calibri" w:cs="Calibri"/>
          <w:color w:val="000000"/>
          <w:sz w:val="22"/>
        </w:rPr>
        <w:t xml:space="preserve"> and younger</w:t>
      </w:r>
      <w:r w:rsidR="005A7C4E">
        <w:rPr>
          <w:rFonts w:ascii="Calibri" w:eastAsia="Calibri" w:hAnsi="Calibri" w:cs="Calibri"/>
          <w:color w:val="000000"/>
          <w:sz w:val="22"/>
        </w:rPr>
        <w:t>-</w:t>
      </w:r>
      <w:r>
        <w:rPr>
          <w:rFonts w:ascii="Calibri" w:eastAsia="Calibri" w:hAnsi="Calibri" w:cs="Calibri"/>
          <w:color w:val="000000"/>
          <w:sz w:val="22"/>
        </w:rPr>
        <w:t xml:space="preserve"> onset cancers, and particularly breast cancer. It really is all about that longitudinal outcome, especially when we're counseling our younger patients, and I think part of that discussion does center around</w:t>
      </w:r>
      <w:r w:rsidR="005A7C4E">
        <w:rPr>
          <w:rFonts w:ascii="Calibri" w:eastAsia="Calibri" w:hAnsi="Calibri" w:cs="Calibri"/>
          <w:color w:val="000000"/>
          <w:sz w:val="22"/>
        </w:rPr>
        <w:t xml:space="preserve">, </w:t>
      </w:r>
      <w:r>
        <w:rPr>
          <w:rFonts w:ascii="Calibri" w:eastAsia="Calibri" w:hAnsi="Calibri" w:cs="Calibri"/>
          <w:color w:val="000000"/>
          <w:sz w:val="22"/>
        </w:rPr>
        <w:t xml:space="preserve">they've done </w:t>
      </w:r>
      <w:proofErr w:type="gramStart"/>
      <w:r>
        <w:rPr>
          <w:rFonts w:ascii="Calibri" w:eastAsia="Calibri" w:hAnsi="Calibri" w:cs="Calibri"/>
          <w:color w:val="000000"/>
          <w:sz w:val="22"/>
        </w:rPr>
        <w:t>all of</w:t>
      </w:r>
      <w:proofErr w:type="gramEnd"/>
      <w:r>
        <w:rPr>
          <w:rFonts w:ascii="Calibri" w:eastAsia="Calibri" w:hAnsi="Calibri" w:cs="Calibri"/>
          <w:color w:val="000000"/>
          <w:sz w:val="22"/>
        </w:rPr>
        <w:t xml:space="preserve"> this therapy already, now we're adding on longer</w:t>
      </w:r>
      <w:r w:rsidR="005A7C4E">
        <w:rPr>
          <w:rFonts w:ascii="Calibri" w:eastAsia="Calibri" w:hAnsi="Calibri" w:cs="Calibri"/>
          <w:color w:val="000000"/>
          <w:sz w:val="22"/>
        </w:rPr>
        <w:t>-</w:t>
      </w:r>
      <w:r>
        <w:rPr>
          <w:rFonts w:ascii="Calibri" w:eastAsia="Calibri" w:hAnsi="Calibri" w:cs="Calibri"/>
          <w:color w:val="000000"/>
          <w:sz w:val="22"/>
        </w:rPr>
        <w:t>term therapy while patients are trying to get back to some semblance of a normal life. I think that is actually really where lifestyle intervention can be empowering, that is, under the control of the patient as long as we counsel them appropriately and provide them with tools that can be helpful. And now there are many virtual apps and platforms or programs that we can refer our patients to in terms of lifestyle resources.</w:t>
      </w:r>
    </w:p>
    <w:p w14:paraId="623EB4B5" w14:textId="08C11949" w:rsidR="00A77B3E" w:rsidRDefault="00E5255A">
      <w:pPr>
        <w:spacing w:before="80"/>
        <w:rPr>
          <w:rFonts w:ascii="Calibri" w:eastAsia="Calibri" w:hAnsi="Calibri" w:cs="Calibri"/>
          <w:color w:val="000000"/>
          <w:sz w:val="22"/>
        </w:rPr>
      </w:pPr>
      <w:r>
        <w:rPr>
          <w:rFonts w:ascii="Calibri" w:eastAsia="Calibri" w:hAnsi="Calibri" w:cs="Calibri"/>
          <w:color w:val="000000"/>
          <w:sz w:val="22"/>
        </w:rPr>
        <w:t>But I think also being ready to talk about modifications in endocrine therapy and dose adjustments if necessary. I think we were both struck by some of the data in both NATAL</w:t>
      </w:r>
      <w:r w:rsidR="005A7C4E">
        <w:rPr>
          <w:rFonts w:ascii="Calibri" w:eastAsia="Calibri" w:hAnsi="Calibri" w:cs="Calibri"/>
          <w:color w:val="000000"/>
          <w:sz w:val="22"/>
        </w:rPr>
        <w:t>EE</w:t>
      </w:r>
      <w:r>
        <w:rPr>
          <w:rFonts w:ascii="Calibri" w:eastAsia="Calibri" w:hAnsi="Calibri" w:cs="Calibri"/>
          <w:color w:val="000000"/>
          <w:sz w:val="22"/>
        </w:rPr>
        <w:t xml:space="preserve"> and </w:t>
      </w:r>
      <w:proofErr w:type="spellStart"/>
      <w:r w:rsidR="00B17712">
        <w:rPr>
          <w:rFonts w:ascii="Calibri" w:eastAsia="Calibri" w:hAnsi="Calibri" w:cs="Calibri"/>
          <w:color w:val="000000"/>
          <w:sz w:val="22"/>
        </w:rPr>
        <w:t>m</w:t>
      </w:r>
      <w:r>
        <w:rPr>
          <w:rFonts w:ascii="Calibri" w:eastAsia="Calibri" w:hAnsi="Calibri" w:cs="Calibri"/>
          <w:color w:val="000000"/>
          <w:sz w:val="22"/>
        </w:rPr>
        <w:t>onarchE</w:t>
      </w:r>
      <w:proofErr w:type="spellEnd"/>
      <w:r>
        <w:rPr>
          <w:rFonts w:ascii="Calibri" w:eastAsia="Calibri" w:hAnsi="Calibri" w:cs="Calibri"/>
          <w:color w:val="000000"/>
          <w:sz w:val="22"/>
        </w:rPr>
        <w:t xml:space="preserve"> in terms of a discontinuation of the CDK4/6 </w:t>
      </w:r>
      <w:r w:rsidRPr="001B3193">
        <w:rPr>
          <w:rFonts w:ascii="Calibri" w:eastAsia="Calibri" w:hAnsi="Calibri" w:cs="Calibri"/>
          <w:color w:val="000000"/>
          <w:sz w:val="22"/>
        </w:rPr>
        <w:t xml:space="preserve">inhibitor that might have been avoidable if we employed more dose </w:t>
      </w:r>
      <w:r w:rsidRPr="001B3193">
        <w:rPr>
          <w:rFonts w:ascii="Calibri" w:eastAsia="Calibri" w:hAnsi="Calibri" w:cs="Calibri"/>
          <w:color w:val="000000"/>
          <w:sz w:val="22"/>
        </w:rPr>
        <w:lastRenderedPageBreak/>
        <w:t xml:space="preserve">modification, dose reductions, or even layered on more lifestyle intervention. These therapies overall are </w:t>
      </w:r>
      <w:proofErr w:type="gramStart"/>
      <w:r w:rsidRPr="001B3193">
        <w:rPr>
          <w:rFonts w:ascii="Calibri" w:eastAsia="Calibri" w:hAnsi="Calibri" w:cs="Calibri"/>
          <w:color w:val="000000"/>
          <w:sz w:val="22"/>
        </w:rPr>
        <w:t>really quite</w:t>
      </w:r>
      <w:proofErr w:type="gramEnd"/>
      <w:r w:rsidRPr="001B3193">
        <w:rPr>
          <w:rFonts w:ascii="Calibri" w:eastAsia="Calibri" w:hAnsi="Calibri" w:cs="Calibri"/>
          <w:color w:val="000000"/>
          <w:sz w:val="22"/>
        </w:rPr>
        <w:t xml:space="preserve"> tolerable despite the AEs that we've outlined here.</w:t>
      </w:r>
    </w:p>
    <w:p w14:paraId="1AA76B15" w14:textId="77777777" w:rsidR="00A77B3E" w:rsidRDefault="00E5255A">
      <w:pPr>
        <w:spacing w:beforeAutospacing="1"/>
        <w:rPr>
          <w:rFonts w:ascii="Calibri" w:eastAsia="Calibri" w:hAnsi="Calibri" w:cs="Calibri"/>
          <w:color w:val="000000"/>
          <w:sz w:val="22"/>
        </w:rPr>
      </w:pPr>
      <w:r>
        <w:rPr>
          <w:rFonts w:ascii="Calibri" w:eastAsia="Calibri" w:hAnsi="Calibri" w:cs="Calibri"/>
          <w:color w:val="000000"/>
          <w:sz w:val="22"/>
        </w:rPr>
        <w:t>Podcast Host:</w:t>
      </w:r>
    </w:p>
    <w:p w14:paraId="23C3CA9D" w14:textId="77777777" w:rsidR="00A77B3E" w:rsidRDefault="00E5255A">
      <w:pPr>
        <w:spacing w:before="80"/>
        <w:rPr>
          <w:rFonts w:ascii="Calibri" w:eastAsia="Calibri" w:hAnsi="Calibri" w:cs="Calibri"/>
          <w:color w:val="000000"/>
          <w:sz w:val="22"/>
        </w:rPr>
      </w:pPr>
      <w:r>
        <w:rPr>
          <w:rFonts w:ascii="Calibri" w:eastAsia="Calibri" w:hAnsi="Calibri" w:cs="Calibri"/>
          <w:color w:val="000000"/>
          <w:sz w:val="22"/>
        </w:rPr>
        <w:t>Thank you so much both for joining us today and sharing some of your expertise. In our next episode, we're all going to meet back up and we're going to talk about strategies for staying on CDK4/6 inhibitor therapy, so inviting our listeners to join us next time.</w:t>
      </w:r>
    </w:p>
    <w:p w14:paraId="2940B58A" w14:textId="77777777" w:rsidR="00A77B3E" w:rsidRDefault="00A77B3E">
      <w:pPr>
        <w:spacing w:before="80"/>
        <w:rPr>
          <w:rFonts w:ascii="Calibri" w:eastAsia="Calibri" w:hAnsi="Calibri" w:cs="Calibri"/>
          <w:color w:val="000000"/>
          <w:sz w:val="22"/>
        </w:rPr>
      </w:pPr>
    </w:p>
    <w:sectPr w:rsidR="00A77B3E" w:rsidSect="00CD4D2B">
      <w:footerReference w:type="default" r:id="rId9"/>
      <w:pgSz w:w="12240" w:h="15840"/>
      <w:pgMar w:top="99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E74A0" w14:textId="77777777" w:rsidR="00E5255A" w:rsidRDefault="00E5255A">
      <w:r>
        <w:separator/>
      </w:r>
    </w:p>
  </w:endnote>
  <w:endnote w:type="continuationSeparator" w:id="0">
    <w:p w14:paraId="737A8B6F" w14:textId="77777777" w:rsidR="00E5255A" w:rsidRDefault="00E52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3AFD4" w14:textId="77777777" w:rsidR="00CD4D2B" w:rsidRDefault="00CD4D2B"/>
  <w:p w14:paraId="12F79CC7" w14:textId="77777777" w:rsidR="00CD4D2B" w:rsidRDefault="00CD4D2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1"/>
      <w:gridCol w:w="1429"/>
    </w:tblGrid>
    <w:tr w:rsidR="00775F30" w:rsidRPr="00A71622" w14:paraId="5D0A6131" w14:textId="77777777" w:rsidTr="00A71622">
      <w:trPr>
        <w:trHeight w:val="630"/>
      </w:trPr>
      <w:tc>
        <w:tcPr>
          <w:tcW w:w="4000" w:type="pct"/>
          <w:tcBorders>
            <w:top w:val="nil"/>
            <w:left w:val="nil"/>
            <w:bottom w:val="nil"/>
            <w:right w:val="nil"/>
          </w:tcBorders>
          <w:noWrap/>
        </w:tcPr>
        <w:p w14:paraId="6E303566" w14:textId="77777777" w:rsidR="00A71622" w:rsidRPr="001B2E45" w:rsidRDefault="00A71622" w:rsidP="00A71622">
          <w:pPr>
            <w:rPr>
              <w:sz w:val="20"/>
              <w:szCs w:val="20"/>
            </w:rPr>
          </w:pPr>
          <w:r w:rsidRPr="001B2E45">
            <w:rPr>
              <w:sz w:val="20"/>
              <w:szCs w:val="20"/>
            </w:rPr>
            <w:t>Part 2: Emerging Data and Trends in HR-Positive/HER2-Negative Breast Cancer Podcast Series</w:t>
          </w:r>
        </w:p>
        <w:p w14:paraId="051E3299" w14:textId="65BE8DCF" w:rsidR="00775F30" w:rsidRDefault="00775F30"/>
      </w:tc>
      <w:tc>
        <w:tcPr>
          <w:tcW w:w="1000" w:type="pct"/>
          <w:tcBorders>
            <w:top w:val="nil"/>
            <w:left w:val="nil"/>
            <w:bottom w:val="nil"/>
            <w:right w:val="nil"/>
          </w:tcBorders>
          <w:noWrap/>
        </w:tcPr>
        <w:p w14:paraId="7287C12A" w14:textId="77777777" w:rsidR="00775F30" w:rsidRPr="00A71622" w:rsidRDefault="00E5255A">
          <w:pPr>
            <w:jc w:val="right"/>
            <w:rPr>
              <w:sz w:val="18"/>
              <w:szCs w:val="18"/>
            </w:rPr>
          </w:pPr>
          <w:r w:rsidRPr="00A71622">
            <w:rPr>
              <w:sz w:val="18"/>
              <w:szCs w:val="18"/>
            </w:rPr>
            <w:t xml:space="preserve">Page </w:t>
          </w:r>
          <w:r w:rsidRPr="00A71622">
            <w:rPr>
              <w:sz w:val="18"/>
              <w:szCs w:val="18"/>
            </w:rPr>
            <w:fldChar w:fldCharType="begin"/>
          </w:r>
          <w:r w:rsidRPr="00A71622">
            <w:rPr>
              <w:sz w:val="18"/>
              <w:szCs w:val="18"/>
            </w:rPr>
            <w:instrText>PAGE</w:instrText>
          </w:r>
          <w:r w:rsidRPr="00A71622">
            <w:rPr>
              <w:sz w:val="18"/>
              <w:szCs w:val="18"/>
            </w:rPr>
            <w:fldChar w:fldCharType="separate"/>
          </w:r>
          <w:r w:rsidR="005A7C4E" w:rsidRPr="00A71622">
            <w:rPr>
              <w:noProof/>
              <w:sz w:val="18"/>
              <w:szCs w:val="18"/>
            </w:rPr>
            <w:t>1</w:t>
          </w:r>
          <w:r w:rsidRPr="00A71622">
            <w:rPr>
              <w:sz w:val="18"/>
              <w:szCs w:val="18"/>
            </w:rPr>
            <w:fldChar w:fldCharType="end"/>
          </w:r>
          <w:r w:rsidRPr="00A71622">
            <w:rPr>
              <w:sz w:val="18"/>
              <w:szCs w:val="18"/>
            </w:rPr>
            <w:t xml:space="preserve"> of </w:t>
          </w:r>
          <w:r w:rsidRPr="00A71622">
            <w:rPr>
              <w:sz w:val="18"/>
              <w:szCs w:val="18"/>
            </w:rPr>
            <w:fldChar w:fldCharType="begin"/>
          </w:r>
          <w:r w:rsidRPr="00A71622">
            <w:rPr>
              <w:sz w:val="18"/>
              <w:szCs w:val="18"/>
            </w:rPr>
            <w:instrText>NUMPAGES</w:instrText>
          </w:r>
          <w:r w:rsidRPr="00A71622">
            <w:rPr>
              <w:sz w:val="18"/>
              <w:szCs w:val="18"/>
            </w:rPr>
            <w:fldChar w:fldCharType="separate"/>
          </w:r>
          <w:r w:rsidR="005A7C4E" w:rsidRPr="00A71622">
            <w:rPr>
              <w:noProof/>
              <w:sz w:val="18"/>
              <w:szCs w:val="18"/>
            </w:rPr>
            <w:t>2</w:t>
          </w:r>
          <w:r w:rsidRPr="00A71622">
            <w:rPr>
              <w:sz w:val="18"/>
              <w:szCs w:val="18"/>
            </w:rPr>
            <w:fldChar w:fldCharType="end"/>
          </w:r>
        </w:p>
      </w:tc>
    </w:tr>
  </w:tbl>
  <w:p w14:paraId="723F753B" w14:textId="77777777" w:rsidR="00775F30" w:rsidRDefault="00775F3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74E37" w14:textId="77777777" w:rsidR="00E5255A" w:rsidRDefault="00E5255A">
      <w:r>
        <w:separator/>
      </w:r>
    </w:p>
  </w:footnote>
  <w:footnote w:type="continuationSeparator" w:id="0">
    <w:p w14:paraId="0CC5C7E5" w14:textId="77777777" w:rsidR="00E5255A" w:rsidRDefault="00E525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31BAC"/>
    <w:rsid w:val="001B3193"/>
    <w:rsid w:val="00384FDA"/>
    <w:rsid w:val="005A7C4E"/>
    <w:rsid w:val="006119D4"/>
    <w:rsid w:val="00775F30"/>
    <w:rsid w:val="009C7063"/>
    <w:rsid w:val="00A71622"/>
    <w:rsid w:val="00A77B3E"/>
    <w:rsid w:val="00B17712"/>
    <w:rsid w:val="00CA2A55"/>
    <w:rsid w:val="00CD4D2B"/>
    <w:rsid w:val="00E525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F87AD8"/>
  <w15:docId w15:val="{DDD3E70A-E32F-415D-98E6-4C54161BD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5A7C4E"/>
    <w:rPr>
      <w:sz w:val="24"/>
      <w:szCs w:val="24"/>
    </w:rPr>
  </w:style>
  <w:style w:type="character" w:styleId="CommentReference">
    <w:name w:val="annotation reference"/>
    <w:basedOn w:val="DefaultParagraphFont"/>
    <w:rsid w:val="00E5255A"/>
    <w:rPr>
      <w:sz w:val="16"/>
      <w:szCs w:val="16"/>
    </w:rPr>
  </w:style>
  <w:style w:type="paragraph" w:styleId="CommentText">
    <w:name w:val="annotation text"/>
    <w:basedOn w:val="Normal"/>
    <w:link w:val="CommentTextChar"/>
    <w:rsid w:val="00E5255A"/>
    <w:rPr>
      <w:sz w:val="20"/>
      <w:szCs w:val="20"/>
    </w:rPr>
  </w:style>
  <w:style w:type="character" w:customStyle="1" w:styleId="CommentTextChar">
    <w:name w:val="Comment Text Char"/>
    <w:basedOn w:val="DefaultParagraphFont"/>
    <w:link w:val="CommentText"/>
    <w:rsid w:val="00E5255A"/>
  </w:style>
  <w:style w:type="paragraph" w:styleId="CommentSubject">
    <w:name w:val="annotation subject"/>
    <w:basedOn w:val="CommentText"/>
    <w:next w:val="CommentText"/>
    <w:link w:val="CommentSubjectChar"/>
    <w:rsid w:val="00E5255A"/>
    <w:rPr>
      <w:b/>
      <w:bCs/>
    </w:rPr>
  </w:style>
  <w:style w:type="character" w:customStyle="1" w:styleId="CommentSubjectChar">
    <w:name w:val="Comment Subject Char"/>
    <w:basedOn w:val="CommentTextChar"/>
    <w:link w:val="CommentSubject"/>
    <w:rsid w:val="00E5255A"/>
    <w:rPr>
      <w:b/>
      <w:bCs/>
    </w:rPr>
  </w:style>
  <w:style w:type="paragraph" w:styleId="Header">
    <w:name w:val="header"/>
    <w:basedOn w:val="Normal"/>
    <w:link w:val="HeaderChar"/>
    <w:rsid w:val="00E5255A"/>
    <w:pPr>
      <w:tabs>
        <w:tab w:val="center" w:pos="4680"/>
        <w:tab w:val="right" w:pos="9360"/>
      </w:tabs>
    </w:pPr>
  </w:style>
  <w:style w:type="character" w:customStyle="1" w:styleId="HeaderChar">
    <w:name w:val="Header Char"/>
    <w:basedOn w:val="DefaultParagraphFont"/>
    <w:link w:val="Header"/>
    <w:rsid w:val="00E5255A"/>
    <w:rPr>
      <w:sz w:val="24"/>
      <w:szCs w:val="24"/>
    </w:rPr>
  </w:style>
  <w:style w:type="paragraph" w:styleId="Footer">
    <w:name w:val="footer"/>
    <w:basedOn w:val="Normal"/>
    <w:link w:val="FooterChar"/>
    <w:rsid w:val="00E5255A"/>
    <w:pPr>
      <w:tabs>
        <w:tab w:val="center" w:pos="4680"/>
        <w:tab w:val="right" w:pos="9360"/>
      </w:tabs>
    </w:pPr>
  </w:style>
  <w:style w:type="character" w:customStyle="1" w:styleId="FooterChar">
    <w:name w:val="Footer Char"/>
    <w:basedOn w:val="DefaultParagraphFont"/>
    <w:link w:val="Footer"/>
    <w:rsid w:val="00E5255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2D3B99B593B03488EE4F17EC3915500" ma:contentTypeVersion="21" ma:contentTypeDescription="Create a new document." ma:contentTypeScope="" ma:versionID="4a43889dd6784bcc6f502aa52e1d4534">
  <xsd:schema xmlns:xsd="http://www.w3.org/2001/XMLSchema" xmlns:xs="http://www.w3.org/2001/XMLSchema" xmlns:p="http://schemas.microsoft.com/office/2006/metadata/properties" xmlns:ns2="73880f1c-9030-4fc3-ae91-9c598c094142" xmlns:ns3="6d1dde86-196c-4bcc-9560-feab4a4d52ca" targetNamespace="http://schemas.microsoft.com/office/2006/metadata/properties" ma:root="true" ma:fieldsID="ec022ef145e571d2da369c1f75f87958" ns2:_="" ns3:_="">
    <xsd:import namespace="73880f1c-9030-4fc3-ae91-9c598c094142"/>
    <xsd:import namespace="6d1dde86-196c-4bcc-9560-feab4a4d52c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YES_x002f_NO" minOccurs="0"/>
                <xsd:element ref="ns2:MediaServiceSearchProperties" minOccurs="0"/>
                <xsd:element ref="ns2:DocumentDescription" minOccurs="0"/>
                <xsd:element ref="ns2:NOT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880f1c-9030-4fc3-ae91-9c598c0941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482e0c1-59fc-4f79-b4ac-29e829bef9d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YES_x002f_NO" ma:index="24" nillable="true" ma:displayName="YES/NO" ma:default="1" ma:description="Formatted" ma:format="Dropdown" ma:internalName="YES_x002f_NO">
      <xsd:simpleType>
        <xsd:restriction base="dms:Boolea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umentDescription" ma:index="26" nillable="true" ma:displayName="Document Description" ma:format="Dropdown" ma:internalName="DocumentDescription">
      <xsd:simpleType>
        <xsd:restriction base="dms:Text">
          <xsd:maxLength value="255"/>
        </xsd:restriction>
      </xsd:simpleType>
    </xsd:element>
    <xsd:element name="NOTES" ma:index="27" nillable="true" ma:displayName="NOTES" ma:format="Dropdown" ma:internalName="NOTES">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1dde86-196c-4bcc-9560-feab4a4d52c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2a1ec13-31e6-415c-8ed0-cb8bb0eab1bf}" ma:internalName="TaxCatchAll" ma:showField="CatchAllData" ma:web="6d1dde86-196c-4bcc-9560-feab4a4d52c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YES_x002f_NO xmlns="73880f1c-9030-4fc3-ae91-9c598c094142">true</YES_x002f_NO>
    <TaxCatchAll xmlns="6d1dde86-196c-4bcc-9560-feab4a4d52ca" xsi:nil="true"/>
    <DocumentDescription xmlns="73880f1c-9030-4fc3-ae91-9c598c094142" xsi:nil="true"/>
    <lcf76f155ced4ddcb4097134ff3c332f xmlns="73880f1c-9030-4fc3-ae91-9c598c094142">
      <Terms xmlns="http://schemas.microsoft.com/office/infopath/2007/PartnerControls"/>
    </lcf76f155ced4ddcb4097134ff3c332f>
    <NOTES xmlns="73880f1c-9030-4fc3-ae91-9c598c094142" xsi:nil="true"/>
  </documentManagement>
</p:properties>
</file>

<file path=customXml/itemProps1.xml><?xml version="1.0" encoding="utf-8"?>
<ds:datastoreItem xmlns:ds="http://schemas.openxmlformats.org/officeDocument/2006/customXml" ds:itemID="{25E5AD0D-A104-4286-B8A3-8B1733D33CB8}">
  <ds:schemaRefs>
    <ds:schemaRef ds:uri="http://schemas.microsoft.com/sharepoint/v3/contenttype/forms"/>
  </ds:schemaRefs>
</ds:datastoreItem>
</file>

<file path=customXml/itemProps2.xml><?xml version="1.0" encoding="utf-8"?>
<ds:datastoreItem xmlns:ds="http://schemas.openxmlformats.org/officeDocument/2006/customXml" ds:itemID="{23740918-2965-4CA6-8199-33A430573B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880f1c-9030-4fc3-ae91-9c598c094142"/>
    <ds:schemaRef ds:uri="6d1dde86-196c-4bcc-9560-feab4a4d52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792913-B7D3-4921-B0E5-168C2F8C97DD}">
  <ds:schemaRefs>
    <ds:schemaRef ds:uri="http://schemas.microsoft.com/office/2006/metadata/properties"/>
    <ds:schemaRef ds:uri="http://schemas.microsoft.com/office/infopath/2007/PartnerControls"/>
    <ds:schemaRef ds:uri="73880f1c-9030-4fc3-ae91-9c598c094142"/>
    <ds:schemaRef ds:uri="6d1dde86-196c-4bcc-9560-feab4a4d52ca"/>
  </ds:schemaRefs>
</ds:datastoreItem>
</file>

<file path=docMetadata/LabelInfo.xml><?xml version="1.0" encoding="utf-8"?>
<clbl:labelList xmlns:clbl="http://schemas.microsoft.com/office/2020/mipLabelMetadata">
  <clbl:label id="{0fb6fdc3-eb1e-4f97-9eb8-a94b752b1d81}" enabled="0" method="" siteId="{0fb6fdc3-eb1e-4f97-9eb8-a94b752b1d81}" removed="1"/>
</clbl:labelList>
</file>

<file path=docProps/app.xml><?xml version="1.0" encoding="utf-8"?>
<Properties xmlns="http://schemas.openxmlformats.org/officeDocument/2006/extended-properties" xmlns:vt="http://schemas.openxmlformats.org/officeDocument/2006/docPropsVTypes">
  <Template>Normal</Template>
  <TotalTime>6</TotalTime>
  <Pages>3</Pages>
  <Words>1326</Words>
  <Characters>6872</Characters>
  <Application>Microsoft Office Word</Application>
  <DocSecurity>0</DocSecurity>
  <Lines>94</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Mandy Kerbel</dc:creator>
  <cp:lastModifiedBy>Marilyn DeMilta</cp:lastModifiedBy>
  <cp:revision>5</cp:revision>
  <dcterms:created xsi:type="dcterms:W3CDTF">2026-01-21T18:10:00Z</dcterms:created>
  <dcterms:modified xsi:type="dcterms:W3CDTF">2026-01-21T18:15:00Z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0x010100B2D3B99B593B03488EE4F17EC3915500</vt:lpwstr>
  </property>
</Properties>
</file>