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4542C" w14:textId="6242DF07"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Podcast Moderat</w:t>
      </w:r>
      <w:r w:rsidR="00232B4A">
        <w:rPr>
          <w:rFonts w:ascii="Calibri" w:eastAsia="Calibri" w:hAnsi="Calibri" w:cs="Calibri"/>
          <w:color w:val="000000"/>
          <w:sz w:val="22"/>
        </w:rPr>
        <w:t>or</w:t>
      </w:r>
      <w:r>
        <w:rPr>
          <w:rFonts w:ascii="Calibri" w:eastAsia="Calibri" w:hAnsi="Calibri" w:cs="Calibri"/>
          <w:color w:val="000000"/>
          <w:sz w:val="22"/>
        </w:rPr>
        <w:t>:</w:t>
      </w:r>
      <w:r>
        <w:rPr>
          <w:rFonts w:ascii="Calibri" w:eastAsia="Calibri" w:hAnsi="Calibri" w:cs="Calibri"/>
          <w:color w:val="000000"/>
          <w:sz w:val="22"/>
        </w:rPr>
        <w:tab/>
        <w:t xml:space="preserve">Welcome back to our series, </w:t>
      </w:r>
      <w:r w:rsidRPr="00620B5A">
        <w:rPr>
          <w:rFonts w:ascii="Calibri" w:eastAsia="Calibri" w:hAnsi="Calibri" w:cs="Calibri"/>
          <w:i/>
          <w:iCs/>
          <w:color w:val="000000"/>
          <w:sz w:val="22"/>
        </w:rPr>
        <w:t xml:space="preserve">Emerging Data and Trends </w:t>
      </w:r>
      <w:r w:rsidR="001A5DBF">
        <w:rPr>
          <w:rFonts w:ascii="Calibri" w:eastAsia="Calibri" w:hAnsi="Calibri" w:cs="Calibri"/>
          <w:i/>
          <w:iCs/>
          <w:color w:val="000000"/>
          <w:sz w:val="22"/>
        </w:rPr>
        <w:t>in</w:t>
      </w:r>
      <w:r w:rsidRPr="00620B5A">
        <w:rPr>
          <w:rFonts w:ascii="Calibri" w:eastAsia="Calibri" w:hAnsi="Calibri" w:cs="Calibri"/>
          <w:i/>
          <w:iCs/>
          <w:color w:val="000000"/>
          <w:sz w:val="22"/>
        </w:rPr>
        <w:t xml:space="preserve"> HR-positive</w:t>
      </w:r>
      <w:r w:rsidR="00620B5A" w:rsidRPr="00620B5A">
        <w:rPr>
          <w:rFonts w:ascii="Calibri" w:eastAsia="Calibri" w:hAnsi="Calibri" w:cs="Calibri"/>
          <w:i/>
          <w:iCs/>
          <w:color w:val="000000"/>
          <w:sz w:val="22"/>
        </w:rPr>
        <w:t>/</w:t>
      </w:r>
      <w:r w:rsidRPr="00620B5A">
        <w:rPr>
          <w:rFonts w:ascii="Calibri" w:eastAsia="Calibri" w:hAnsi="Calibri" w:cs="Calibri"/>
          <w:i/>
          <w:iCs/>
          <w:color w:val="000000"/>
          <w:sz w:val="22"/>
        </w:rPr>
        <w:t>HER2-negative breast cancer</w:t>
      </w:r>
      <w:r>
        <w:rPr>
          <w:rFonts w:ascii="Calibri" w:eastAsia="Calibri" w:hAnsi="Calibri" w:cs="Calibri"/>
          <w:color w:val="000000"/>
          <w:sz w:val="22"/>
        </w:rPr>
        <w:t xml:space="preserve">. This is episode </w:t>
      </w:r>
      <w:r w:rsidR="00620B5A">
        <w:rPr>
          <w:rFonts w:ascii="Calibri" w:eastAsia="Calibri" w:hAnsi="Calibri" w:cs="Calibri"/>
          <w:color w:val="000000"/>
          <w:sz w:val="22"/>
        </w:rPr>
        <w:t xml:space="preserve">4 </w:t>
      </w:r>
      <w:r>
        <w:rPr>
          <w:rFonts w:ascii="Calibri" w:eastAsia="Calibri" w:hAnsi="Calibri" w:cs="Calibri"/>
          <w:color w:val="000000"/>
          <w:sz w:val="22"/>
        </w:rPr>
        <w:t xml:space="preserve">of a </w:t>
      </w:r>
      <w:r w:rsidR="00620B5A">
        <w:rPr>
          <w:rFonts w:ascii="Calibri" w:eastAsia="Calibri" w:hAnsi="Calibri" w:cs="Calibri"/>
          <w:color w:val="000000"/>
          <w:sz w:val="22"/>
        </w:rPr>
        <w:t>6</w:t>
      </w:r>
      <w:r>
        <w:rPr>
          <w:rFonts w:ascii="Calibri" w:eastAsia="Calibri" w:hAnsi="Calibri" w:cs="Calibri"/>
          <w:color w:val="000000"/>
          <w:sz w:val="22"/>
        </w:rPr>
        <w:t>-part series. I'm back in the studio with Dr. Neil Iyengar from the Winship Cancer Institute of Emory University and Dr. Seth Wander from the Massachusetts General Hospital of Boston. B</w:t>
      </w:r>
      <w:bookmarkStart w:id="0" w:name="_Hlk221100338"/>
      <w:r>
        <w:rPr>
          <w:rFonts w:ascii="Calibri" w:eastAsia="Calibri" w:hAnsi="Calibri" w:cs="Calibri"/>
          <w:color w:val="000000"/>
          <w:sz w:val="22"/>
        </w:rPr>
        <w:t>oth my guests have been lending us their expertise as medical oncologists specializing in breast cancer research and care. And</w:t>
      </w:r>
      <w:bookmarkEnd w:id="0"/>
      <w:r>
        <w:rPr>
          <w:rFonts w:ascii="Calibri" w:eastAsia="Calibri" w:hAnsi="Calibri" w:cs="Calibri"/>
          <w:color w:val="000000"/>
          <w:sz w:val="22"/>
        </w:rPr>
        <w:t xml:space="preserve"> it's so good to be back with you both. Thank you again for joining us.</w:t>
      </w:r>
    </w:p>
    <w:p w14:paraId="6E7E09E7" w14:textId="1D99E6EA"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Neil Iyengar, M</w:t>
      </w:r>
      <w:r w:rsidR="00232B4A">
        <w:rPr>
          <w:rFonts w:ascii="Calibri" w:eastAsia="Calibri" w:hAnsi="Calibri" w:cs="Calibri"/>
          <w:color w:val="000000"/>
          <w:sz w:val="22"/>
        </w:rPr>
        <w:t>D</w:t>
      </w:r>
      <w:r>
        <w:rPr>
          <w:rFonts w:ascii="Calibri" w:eastAsia="Calibri" w:hAnsi="Calibri" w:cs="Calibri"/>
          <w:color w:val="000000"/>
          <w:sz w:val="22"/>
        </w:rPr>
        <w:t>:</w:t>
      </w:r>
      <w:r>
        <w:rPr>
          <w:rFonts w:ascii="Calibri" w:eastAsia="Calibri" w:hAnsi="Calibri" w:cs="Calibri"/>
          <w:color w:val="000000"/>
          <w:sz w:val="22"/>
        </w:rPr>
        <w:tab/>
        <w:t>Thank you for having us.</w:t>
      </w:r>
    </w:p>
    <w:p w14:paraId="744ECEA9" w14:textId="62C021DA"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Podcast Modera</w:t>
      </w:r>
      <w:r w:rsidR="00232B4A">
        <w:rPr>
          <w:rFonts w:ascii="Calibri" w:eastAsia="Calibri" w:hAnsi="Calibri" w:cs="Calibri"/>
          <w:color w:val="000000"/>
          <w:sz w:val="22"/>
        </w:rPr>
        <w:t>tor</w:t>
      </w:r>
      <w:r>
        <w:rPr>
          <w:rFonts w:ascii="Calibri" w:eastAsia="Calibri" w:hAnsi="Calibri" w:cs="Calibri"/>
          <w:color w:val="000000"/>
          <w:sz w:val="22"/>
        </w:rPr>
        <w:t>:</w:t>
      </w:r>
      <w:r>
        <w:rPr>
          <w:rFonts w:ascii="Calibri" w:eastAsia="Calibri" w:hAnsi="Calibri" w:cs="Calibri"/>
          <w:color w:val="000000"/>
          <w:sz w:val="22"/>
        </w:rPr>
        <w:tab/>
        <w:t xml:space="preserve">Well, all right, welcome to episode </w:t>
      </w:r>
      <w:r w:rsidR="00620B5A">
        <w:rPr>
          <w:rFonts w:ascii="Calibri" w:eastAsia="Calibri" w:hAnsi="Calibri" w:cs="Calibri"/>
          <w:color w:val="000000"/>
          <w:sz w:val="22"/>
        </w:rPr>
        <w:t>4</w:t>
      </w:r>
      <w:r>
        <w:rPr>
          <w:rFonts w:ascii="Calibri" w:eastAsia="Calibri" w:hAnsi="Calibri" w:cs="Calibri"/>
          <w:color w:val="000000"/>
          <w:sz w:val="22"/>
        </w:rPr>
        <w:t xml:space="preserve">. In </w:t>
      </w:r>
      <w:r w:rsidR="00620B5A">
        <w:rPr>
          <w:rFonts w:ascii="Calibri" w:eastAsia="Calibri" w:hAnsi="Calibri" w:cs="Calibri"/>
          <w:color w:val="000000"/>
          <w:sz w:val="22"/>
        </w:rPr>
        <w:t xml:space="preserve">1 </w:t>
      </w:r>
      <w:r>
        <w:rPr>
          <w:rFonts w:ascii="Calibri" w:eastAsia="Calibri" w:hAnsi="Calibri" w:cs="Calibri"/>
          <w:color w:val="000000"/>
          <w:sz w:val="22"/>
        </w:rPr>
        <w:t xml:space="preserve">through </w:t>
      </w:r>
      <w:r w:rsidR="00620B5A">
        <w:rPr>
          <w:rFonts w:ascii="Calibri" w:eastAsia="Calibri" w:hAnsi="Calibri" w:cs="Calibri"/>
          <w:color w:val="000000"/>
          <w:sz w:val="22"/>
        </w:rPr>
        <w:t>3</w:t>
      </w:r>
      <w:r>
        <w:rPr>
          <w:rFonts w:ascii="Calibri" w:eastAsia="Calibri" w:hAnsi="Calibri" w:cs="Calibri"/>
          <w:color w:val="000000"/>
          <w:sz w:val="22"/>
        </w:rPr>
        <w:t xml:space="preserve">, our listeners learned about new overall survival data and clinical and </w:t>
      </w:r>
      <w:proofErr w:type="gramStart"/>
      <w:r>
        <w:rPr>
          <w:rFonts w:ascii="Calibri" w:eastAsia="Calibri" w:hAnsi="Calibri" w:cs="Calibri"/>
          <w:color w:val="000000"/>
          <w:sz w:val="22"/>
        </w:rPr>
        <w:t>real world</w:t>
      </w:r>
      <w:proofErr w:type="gramEnd"/>
      <w:r>
        <w:rPr>
          <w:rFonts w:ascii="Calibri" w:eastAsia="Calibri" w:hAnsi="Calibri" w:cs="Calibri"/>
          <w:color w:val="000000"/>
          <w:sz w:val="22"/>
        </w:rPr>
        <w:t xml:space="preserve"> experience in side effect management in the evolving story of CDK4/6 inhibitors for the adjuvant treatment of high-risk</w:t>
      </w:r>
      <w:r w:rsidR="00620B5A">
        <w:rPr>
          <w:rFonts w:ascii="Calibri" w:eastAsia="Calibri" w:hAnsi="Calibri" w:cs="Calibri"/>
          <w:color w:val="000000"/>
          <w:sz w:val="22"/>
        </w:rPr>
        <w:t>,</w:t>
      </w:r>
      <w:r>
        <w:rPr>
          <w:rFonts w:ascii="Calibri" w:eastAsia="Calibri" w:hAnsi="Calibri" w:cs="Calibri"/>
          <w:color w:val="000000"/>
          <w:sz w:val="22"/>
        </w:rPr>
        <w:t xml:space="preserve"> HR-positive</w:t>
      </w:r>
      <w:r w:rsidR="00620B5A">
        <w:rPr>
          <w:rFonts w:ascii="Calibri" w:eastAsia="Calibri" w:hAnsi="Calibri" w:cs="Calibri"/>
          <w:color w:val="000000"/>
          <w:sz w:val="22"/>
        </w:rPr>
        <w:t>/</w:t>
      </w:r>
      <w:r>
        <w:rPr>
          <w:rFonts w:ascii="Calibri" w:eastAsia="Calibri" w:hAnsi="Calibri" w:cs="Calibri"/>
          <w:color w:val="000000"/>
          <w:sz w:val="22"/>
        </w:rPr>
        <w:t>HER2-negative early breast cancer. Today, we're going to discuss new results from the VIKTORIA-1 trial, which explores second-line combination therapies in patients with locally advanced or metastatic HR-positive</w:t>
      </w:r>
      <w:r w:rsidR="00620B5A">
        <w:rPr>
          <w:rFonts w:ascii="Calibri" w:eastAsia="Calibri" w:hAnsi="Calibri" w:cs="Calibri"/>
          <w:color w:val="000000"/>
          <w:sz w:val="22"/>
        </w:rPr>
        <w:t>/</w:t>
      </w:r>
      <w:r>
        <w:rPr>
          <w:rFonts w:ascii="Calibri" w:eastAsia="Calibri" w:hAnsi="Calibri" w:cs="Calibri"/>
          <w:color w:val="000000"/>
          <w:sz w:val="22"/>
        </w:rPr>
        <w:t xml:space="preserve">HER2-negative breast cancer following progression on or after CDK4/6 and aromatase inhibitor therapy. So actually, before we hit the record button for this episode, we were having a really interesting discussion about the mechanisms of resistance to CDK4/6 inhibitors. And Dr. Wander, you outlined both molecular and genomic factors that drive resistance. Could you give a </w:t>
      </w:r>
      <w:proofErr w:type="gramStart"/>
      <w:r>
        <w:rPr>
          <w:rFonts w:ascii="Calibri" w:eastAsia="Calibri" w:hAnsi="Calibri" w:cs="Calibri"/>
          <w:color w:val="000000"/>
          <w:sz w:val="22"/>
        </w:rPr>
        <w:t>really brief</w:t>
      </w:r>
      <w:proofErr w:type="gramEnd"/>
      <w:r>
        <w:rPr>
          <w:rFonts w:ascii="Calibri" w:eastAsia="Calibri" w:hAnsi="Calibri" w:cs="Calibri"/>
          <w:color w:val="000000"/>
          <w:sz w:val="22"/>
        </w:rPr>
        <w:t xml:space="preserve"> overview for our listeners to provide some context for the rationale for the VIKTORIA-1 trial and its results? And then Dr. Iyengar will take us through the trial.</w:t>
      </w:r>
    </w:p>
    <w:p w14:paraId="0E5B3165" w14:textId="5DEC551A"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Seth Wander, MD:</w:t>
      </w:r>
      <w:r>
        <w:rPr>
          <w:rFonts w:ascii="Calibri" w:eastAsia="Calibri" w:hAnsi="Calibri" w:cs="Calibri"/>
          <w:color w:val="000000"/>
          <w:sz w:val="22"/>
        </w:rPr>
        <w:tab/>
        <w:t xml:space="preserve">Thanks. This is </w:t>
      </w:r>
      <w:proofErr w:type="gramStart"/>
      <w:r>
        <w:rPr>
          <w:rFonts w:ascii="Calibri" w:eastAsia="Calibri" w:hAnsi="Calibri" w:cs="Calibri"/>
          <w:color w:val="000000"/>
          <w:sz w:val="22"/>
        </w:rPr>
        <w:t>a really important</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question</w:t>
      </w:r>
      <w:proofErr w:type="gramEnd"/>
      <w:r>
        <w:rPr>
          <w:rFonts w:ascii="Calibri" w:eastAsia="Calibri" w:hAnsi="Calibri" w:cs="Calibri"/>
          <w:color w:val="000000"/>
          <w:sz w:val="22"/>
        </w:rPr>
        <w:t xml:space="preserve"> and I really do believe that we've entered the era of precision oncology and personalized medicine for hormone receptor</w:t>
      </w:r>
      <w:r w:rsidR="00620B5A" w:rsidRPr="00390EBC">
        <w:t>–</w:t>
      </w:r>
      <w:r>
        <w:rPr>
          <w:rFonts w:ascii="Calibri" w:eastAsia="Calibri" w:hAnsi="Calibri" w:cs="Calibri"/>
          <w:color w:val="000000"/>
          <w:sz w:val="22"/>
        </w:rPr>
        <w:t>positive</w:t>
      </w:r>
      <w:r w:rsidR="00620B5A">
        <w:rPr>
          <w:rFonts w:ascii="Calibri" w:eastAsia="Calibri" w:hAnsi="Calibri" w:cs="Calibri"/>
          <w:color w:val="000000"/>
          <w:sz w:val="22"/>
        </w:rPr>
        <w:t>/</w:t>
      </w:r>
      <w:r>
        <w:rPr>
          <w:rFonts w:ascii="Calibri" w:eastAsia="Calibri" w:hAnsi="Calibri" w:cs="Calibri"/>
          <w:color w:val="000000"/>
          <w:sz w:val="22"/>
        </w:rPr>
        <w:t xml:space="preserve"> HER2-negative breast cancer, and nowhere is that more apparent than in the second</w:t>
      </w:r>
      <w:r w:rsidR="00620B5A">
        <w:rPr>
          <w:rFonts w:ascii="Calibri" w:eastAsia="Calibri" w:hAnsi="Calibri" w:cs="Calibri"/>
          <w:color w:val="000000"/>
          <w:sz w:val="22"/>
        </w:rPr>
        <w:t>-</w:t>
      </w:r>
      <w:r>
        <w:rPr>
          <w:rFonts w:ascii="Calibri" w:eastAsia="Calibri" w:hAnsi="Calibri" w:cs="Calibri"/>
          <w:color w:val="000000"/>
          <w:sz w:val="22"/>
        </w:rPr>
        <w:t xml:space="preserve"> line setting. CDK4/6 agents entered clinical practice approximately 10 </w:t>
      </w:r>
      <w:proofErr w:type="gramStart"/>
      <w:r>
        <w:rPr>
          <w:rFonts w:ascii="Calibri" w:eastAsia="Calibri" w:hAnsi="Calibri" w:cs="Calibri"/>
          <w:color w:val="000000"/>
          <w:sz w:val="22"/>
        </w:rPr>
        <w:t>years  ago</w:t>
      </w:r>
      <w:proofErr w:type="gramEnd"/>
      <w:r>
        <w:rPr>
          <w:rFonts w:ascii="Calibri" w:eastAsia="Calibri" w:hAnsi="Calibri" w:cs="Calibri"/>
          <w:color w:val="000000"/>
          <w:sz w:val="22"/>
        </w:rPr>
        <w:t xml:space="preserve">, and we've learned that resistance to these drugs is driven by a very diverse heterogeneous set of changes within the cancer cell. And then another large group of resistance mediators tend to fall into what I would describe as oncogenic signal transduction pathways. And </w:t>
      </w:r>
      <w:r w:rsidR="00620B5A">
        <w:rPr>
          <w:rFonts w:ascii="Calibri" w:eastAsia="Calibri" w:hAnsi="Calibri" w:cs="Calibri"/>
          <w:color w:val="000000"/>
          <w:sz w:val="22"/>
        </w:rPr>
        <w:t xml:space="preserve">1 </w:t>
      </w:r>
      <w:r>
        <w:rPr>
          <w:rFonts w:ascii="Calibri" w:eastAsia="Calibri" w:hAnsi="Calibri" w:cs="Calibri"/>
          <w:color w:val="000000"/>
          <w:sz w:val="22"/>
        </w:rPr>
        <w:t>of the best characterized of these pathways is the PI3 kinase AKT mTOR pathway, sometimes called the PAM pathway. The PI3 kinase pathway is, again, a very complex pathway, but broadly speaking, this is a pathway that tends to be mutant or activated in upwards of 40 to 50% of ER-positive</w:t>
      </w:r>
      <w:r w:rsidR="00620B5A">
        <w:rPr>
          <w:rFonts w:ascii="Calibri" w:eastAsia="Calibri" w:hAnsi="Calibri" w:cs="Calibri"/>
          <w:color w:val="000000"/>
          <w:sz w:val="22"/>
        </w:rPr>
        <w:t>/</w:t>
      </w:r>
      <w:r>
        <w:rPr>
          <w:rFonts w:ascii="Calibri" w:eastAsia="Calibri" w:hAnsi="Calibri" w:cs="Calibri"/>
          <w:color w:val="000000"/>
          <w:sz w:val="22"/>
        </w:rPr>
        <w:t>HER2-negative breast cancers.</w:t>
      </w:r>
    </w:p>
    <w:p w14:paraId="5B8296E1" w14:textId="4E89A6F4"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ab/>
        <w:t xml:space="preserve">Now, a subset of patients who develop resistance to CDK4/6 inhibitor therapy may develop that drug resistance due to activation downstream of PI3 kinase. Another broad group of patients may have this target, the PI3 kinase element, even if it's not directly contributing to resistance to CDK4/6 itself. And I make that distinction because we're still learning a lot about the patients who start off, for example, with a </w:t>
      </w:r>
      <w:r w:rsidRPr="000574B6">
        <w:rPr>
          <w:rFonts w:ascii="Calibri" w:eastAsia="Calibri" w:hAnsi="Calibri" w:cs="Calibri"/>
          <w:i/>
          <w:iCs/>
          <w:color w:val="000000"/>
          <w:sz w:val="22"/>
        </w:rPr>
        <w:t>PIK3CA</w:t>
      </w:r>
      <w:r>
        <w:rPr>
          <w:rFonts w:ascii="Calibri" w:eastAsia="Calibri" w:hAnsi="Calibri" w:cs="Calibri"/>
          <w:color w:val="000000"/>
          <w:sz w:val="22"/>
        </w:rPr>
        <w:t xml:space="preserve"> mutation, but can still get benefit on a CDK4/6 inhibitor versus patients who develop alterations downstream. We've shown in laboratory models that these changes can provoke resistance across the spectrum.</w:t>
      </w:r>
    </w:p>
    <w:p w14:paraId="3BE30F81" w14:textId="11D6B6AF"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ab/>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highlight these findings just to show you how important this PAM pathway is in terms of tumor cell development </w:t>
      </w:r>
      <w:proofErr w:type="gramStart"/>
      <w:r>
        <w:rPr>
          <w:rFonts w:ascii="Calibri" w:eastAsia="Calibri" w:hAnsi="Calibri" w:cs="Calibri"/>
          <w:color w:val="000000"/>
          <w:sz w:val="22"/>
        </w:rPr>
        <w:t>early on in the</w:t>
      </w:r>
      <w:proofErr w:type="gramEnd"/>
      <w:r>
        <w:rPr>
          <w:rFonts w:ascii="Calibri" w:eastAsia="Calibri" w:hAnsi="Calibri" w:cs="Calibri"/>
          <w:color w:val="000000"/>
          <w:sz w:val="22"/>
        </w:rPr>
        <w:t xml:space="preserve"> development of metastatic disease, but also in terms of resistance both to endocrine therapies, for example, the aromatase inhibitors or fulvestrant, as well as to the CDK4/6 inhibitors. And we have a number of </w:t>
      </w:r>
      <w:r>
        <w:rPr>
          <w:rFonts w:ascii="Calibri" w:eastAsia="Calibri" w:hAnsi="Calibri" w:cs="Calibri"/>
          <w:color w:val="000000"/>
          <w:sz w:val="22"/>
        </w:rPr>
        <w:lastRenderedPageBreak/>
        <w:t>drugs that have been developed to target this pathway, but what we really want to focus on today is this novel PAM pathway inhibitor, gedatolisib, that Dr. Iyengar will tell us about here in a moment.</w:t>
      </w:r>
    </w:p>
    <w:p w14:paraId="10D69292" w14:textId="11C94713"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Neil Iyengar, M</w:t>
      </w:r>
      <w:r w:rsidR="00232B4A">
        <w:rPr>
          <w:rFonts w:ascii="Calibri" w:eastAsia="Calibri" w:hAnsi="Calibri" w:cs="Calibri"/>
          <w:color w:val="000000"/>
          <w:sz w:val="22"/>
        </w:rPr>
        <w:t>D</w:t>
      </w:r>
      <w:r>
        <w:rPr>
          <w:rFonts w:ascii="Calibri" w:eastAsia="Calibri" w:hAnsi="Calibri" w:cs="Calibri"/>
          <w:color w:val="000000"/>
          <w:sz w:val="22"/>
        </w:rPr>
        <w:t>:</w:t>
      </w:r>
      <w:r>
        <w:rPr>
          <w:rFonts w:ascii="Calibri" w:eastAsia="Calibri" w:hAnsi="Calibri" w:cs="Calibri"/>
          <w:color w:val="000000"/>
          <w:sz w:val="22"/>
        </w:rPr>
        <w:tab/>
        <w:t xml:space="preserve">Thanks, Seth, for explaining the resistance pathways. And I think what we've learned is that there are so many potentials or opportunities for escape mechanisms whereby either pathway crosstalk or parallel pathways are </w:t>
      </w:r>
      <w:proofErr w:type="gramStart"/>
      <w:r>
        <w:rPr>
          <w:rFonts w:ascii="Calibri" w:eastAsia="Calibri" w:hAnsi="Calibri" w:cs="Calibri"/>
          <w:color w:val="000000"/>
          <w:sz w:val="22"/>
        </w:rPr>
        <w:t>up-regulated</w:t>
      </w:r>
      <w:proofErr w:type="gramEnd"/>
      <w:r>
        <w:rPr>
          <w:rFonts w:ascii="Calibri" w:eastAsia="Calibri" w:hAnsi="Calibri" w:cs="Calibri"/>
          <w:color w:val="000000"/>
          <w:sz w:val="22"/>
        </w:rPr>
        <w:t xml:space="preserve"> as a mechanism of resistance. And as you pointed out, this is really what has led to the rationale for the VIKTORIA-1 trial, which is testing a PAM inhibitor, as you've said, gedatolisib, with endocrine therapy with or without CDK4/6 inhibition. So essentially, especially in the triplet arm, we are really hitting many pathways as possible,</w:t>
      </w:r>
      <w:r w:rsidR="001A5DBF">
        <w:rPr>
          <w:rFonts w:ascii="Calibri" w:eastAsia="Calibri" w:hAnsi="Calibri" w:cs="Calibri"/>
          <w:color w:val="000000"/>
          <w:sz w:val="22"/>
        </w:rPr>
        <w:t xml:space="preserve"> </w:t>
      </w:r>
      <w:r>
        <w:rPr>
          <w:rFonts w:ascii="Calibri" w:eastAsia="Calibri" w:hAnsi="Calibri" w:cs="Calibri"/>
          <w:color w:val="000000"/>
          <w:sz w:val="22"/>
        </w:rPr>
        <w:t xml:space="preserve">but the question, the proof of principle question is </w:t>
      </w:r>
      <w:proofErr w:type="gramStart"/>
      <w:r>
        <w:rPr>
          <w:rFonts w:ascii="Calibri" w:eastAsia="Calibri" w:hAnsi="Calibri" w:cs="Calibri"/>
          <w:color w:val="000000"/>
          <w:sz w:val="22"/>
        </w:rPr>
        <w:t>whether or not</w:t>
      </w:r>
      <w:proofErr w:type="gramEnd"/>
      <w:r>
        <w:rPr>
          <w:rFonts w:ascii="Calibri" w:eastAsia="Calibri" w:hAnsi="Calibri" w:cs="Calibri"/>
          <w:color w:val="000000"/>
          <w:sz w:val="22"/>
        </w:rPr>
        <w:t xml:space="preserve"> this approach of really hitting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 pathways at once is indeed an efficacious approach, or should we kind of stick with the sequencing approach as we've traditionally been doing? And I think, of course, we do this in the backdrop of several trials that have tried to look at the sequencing question.</w:t>
      </w:r>
    </w:p>
    <w:p w14:paraId="12C1A230" w14:textId="44820086"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ab/>
        <w:t>We've learned that it is important to understand what exposure to prior therapy does to response to some of these molecular inhibitors. For example, the PI3 kinase inhibitors. We know that prior CDK4/6 inhibition can potentially impact the duration of response and progression-free survival in subsequent lines of therapy. And this is why I particularly like the trial design for the VIKTORIA-1 study, because the design was, I would say, stringent and really tried to standardize and isolate those patients who have had some prior treatment. So let's talk through the VIKTORIA-1 trial design here. This was, of course, a trial in patients with metastatic or advanced hormone receptor</w:t>
      </w:r>
      <w:r w:rsidR="00620B5A" w:rsidRPr="00390EBC">
        <w:t>–</w:t>
      </w:r>
      <w:r>
        <w:rPr>
          <w:rFonts w:ascii="Calibri" w:eastAsia="Calibri" w:hAnsi="Calibri" w:cs="Calibri"/>
          <w:color w:val="000000"/>
          <w:sz w:val="22"/>
        </w:rPr>
        <w:t>positive</w:t>
      </w:r>
      <w:r w:rsidR="00620B5A">
        <w:rPr>
          <w:rFonts w:ascii="Calibri" w:eastAsia="Calibri" w:hAnsi="Calibri" w:cs="Calibri"/>
          <w:color w:val="000000"/>
          <w:sz w:val="22"/>
        </w:rPr>
        <w:t>/</w:t>
      </w:r>
      <w:r>
        <w:rPr>
          <w:rFonts w:ascii="Calibri" w:eastAsia="Calibri" w:hAnsi="Calibri" w:cs="Calibri"/>
          <w:color w:val="000000"/>
          <w:sz w:val="22"/>
        </w:rPr>
        <w:t>HER2-negative breast cancer, and patients could have been pre</w:t>
      </w:r>
      <w:r w:rsidR="00620B5A">
        <w:rPr>
          <w:rFonts w:ascii="Calibri" w:eastAsia="Calibri" w:hAnsi="Calibri" w:cs="Calibri"/>
          <w:color w:val="000000"/>
          <w:sz w:val="22"/>
        </w:rPr>
        <w:t>-</w:t>
      </w:r>
      <w:r>
        <w:rPr>
          <w:rFonts w:ascii="Calibri" w:eastAsia="Calibri" w:hAnsi="Calibri" w:cs="Calibri"/>
          <w:color w:val="000000"/>
          <w:sz w:val="22"/>
        </w:rPr>
        <w:t xml:space="preserve"> or postmenopausal women or men. All patients had to have progression on or after a prior CDK4/6 </w:t>
      </w:r>
      <w:r w:rsidR="00620B5A">
        <w:rPr>
          <w:rFonts w:ascii="Calibri" w:eastAsia="Calibri" w:hAnsi="Calibri" w:cs="Calibri"/>
          <w:color w:val="000000"/>
          <w:sz w:val="22"/>
        </w:rPr>
        <w:t>inhibitor</w:t>
      </w:r>
      <w:r>
        <w:rPr>
          <w:rFonts w:ascii="Calibri" w:eastAsia="Calibri" w:hAnsi="Calibri" w:cs="Calibri"/>
          <w:color w:val="000000"/>
          <w:sz w:val="22"/>
        </w:rPr>
        <w:t xml:space="preserve"> plus aromatase inhibitor. And of course, patients could have had up to </w:t>
      </w:r>
      <w:r w:rsidR="00620B5A">
        <w:rPr>
          <w:rFonts w:ascii="Calibri" w:eastAsia="Calibri" w:hAnsi="Calibri" w:cs="Calibri"/>
          <w:color w:val="000000"/>
          <w:sz w:val="22"/>
        </w:rPr>
        <w:t xml:space="preserve">2 </w:t>
      </w:r>
      <w:r>
        <w:rPr>
          <w:rFonts w:ascii="Calibri" w:eastAsia="Calibri" w:hAnsi="Calibri" w:cs="Calibri"/>
          <w:color w:val="000000"/>
          <w:sz w:val="22"/>
        </w:rPr>
        <w:t>lines of prior endocrine therapy in the metastatic setting.</w:t>
      </w:r>
    </w:p>
    <w:p w14:paraId="2977D94A" w14:textId="2DF56107"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ab/>
        <w:t xml:space="preserve">Patients also had to have measurable disease, as well as assessment of </w:t>
      </w:r>
      <w:r w:rsidRPr="000574B6">
        <w:rPr>
          <w:rFonts w:ascii="Calibri" w:eastAsia="Calibri" w:hAnsi="Calibri" w:cs="Calibri"/>
          <w:i/>
          <w:iCs/>
          <w:color w:val="000000"/>
          <w:sz w:val="22"/>
        </w:rPr>
        <w:t>PIK3CA</w:t>
      </w:r>
      <w:r>
        <w:rPr>
          <w:rFonts w:ascii="Calibri" w:eastAsia="Calibri" w:hAnsi="Calibri" w:cs="Calibri"/>
          <w:color w:val="000000"/>
          <w:sz w:val="22"/>
        </w:rPr>
        <w:t xml:space="preserve"> mutational status. Now, there </w:t>
      </w:r>
      <w:proofErr w:type="gramStart"/>
      <w:r>
        <w:rPr>
          <w:rFonts w:ascii="Calibri" w:eastAsia="Calibri" w:hAnsi="Calibri" w:cs="Calibri"/>
          <w:color w:val="000000"/>
          <w:sz w:val="22"/>
        </w:rPr>
        <w:t>were</w:t>
      </w:r>
      <w:proofErr w:type="gramEnd"/>
      <w:r>
        <w:rPr>
          <w:rFonts w:ascii="Calibri" w:eastAsia="Calibri" w:hAnsi="Calibri" w:cs="Calibri"/>
          <w:color w:val="000000"/>
          <w:sz w:val="22"/>
        </w:rPr>
        <w:t xml:space="preserve"> essentially </w:t>
      </w:r>
      <w:r w:rsidR="00620B5A">
        <w:rPr>
          <w:rFonts w:ascii="Calibri" w:eastAsia="Calibri" w:hAnsi="Calibri" w:cs="Calibri"/>
          <w:color w:val="000000"/>
          <w:sz w:val="22"/>
        </w:rPr>
        <w:t xml:space="preserve">2 </w:t>
      </w:r>
      <w:r>
        <w:rPr>
          <w:rFonts w:ascii="Calibri" w:eastAsia="Calibri" w:hAnsi="Calibri" w:cs="Calibri"/>
          <w:color w:val="000000"/>
          <w:sz w:val="22"/>
        </w:rPr>
        <w:t xml:space="preserve">embedded studies here, </w:t>
      </w:r>
      <w:r w:rsidR="00620B5A">
        <w:rPr>
          <w:rFonts w:ascii="Calibri" w:eastAsia="Calibri" w:hAnsi="Calibri" w:cs="Calibri"/>
          <w:color w:val="000000"/>
          <w:sz w:val="22"/>
        </w:rPr>
        <w:t>1</w:t>
      </w:r>
      <w:r w:rsidR="007D5837">
        <w:rPr>
          <w:rFonts w:ascii="Calibri" w:eastAsia="Calibri" w:hAnsi="Calibri" w:cs="Calibri"/>
          <w:color w:val="000000"/>
          <w:sz w:val="22"/>
        </w:rPr>
        <w:t xml:space="preserve"> </w:t>
      </w:r>
      <w:r>
        <w:rPr>
          <w:rFonts w:ascii="Calibri" w:eastAsia="Calibri" w:hAnsi="Calibri" w:cs="Calibri"/>
          <w:color w:val="000000"/>
          <w:sz w:val="22"/>
        </w:rPr>
        <w:t>with a PIK3CA wild</w:t>
      </w:r>
      <w:r w:rsidR="007D5837">
        <w:rPr>
          <w:rFonts w:ascii="Calibri" w:eastAsia="Calibri" w:hAnsi="Calibri" w:cs="Calibri"/>
          <w:color w:val="000000"/>
          <w:sz w:val="22"/>
        </w:rPr>
        <w:t>-</w:t>
      </w:r>
      <w:r>
        <w:rPr>
          <w:rFonts w:ascii="Calibri" w:eastAsia="Calibri" w:hAnsi="Calibri" w:cs="Calibri"/>
          <w:color w:val="000000"/>
          <w:sz w:val="22"/>
        </w:rPr>
        <w:t xml:space="preserve">type cohort and a second study that was specific to the </w:t>
      </w:r>
      <w:r w:rsidRPr="000574B6">
        <w:rPr>
          <w:rFonts w:ascii="Calibri" w:eastAsia="Calibri" w:hAnsi="Calibri" w:cs="Calibri"/>
          <w:i/>
          <w:iCs/>
          <w:color w:val="000000"/>
          <w:sz w:val="22"/>
        </w:rPr>
        <w:t>PIK3CA</w:t>
      </w:r>
      <w:r>
        <w:rPr>
          <w:rFonts w:ascii="Calibri" w:eastAsia="Calibri" w:hAnsi="Calibri" w:cs="Calibri"/>
          <w:color w:val="000000"/>
          <w:sz w:val="22"/>
        </w:rPr>
        <w:t xml:space="preserve"> mutant cohort. And here we'll be focusing on the PIK3CA wild</w:t>
      </w:r>
      <w:r w:rsidR="001A5DBF">
        <w:rPr>
          <w:rFonts w:ascii="Calibri" w:eastAsia="Calibri" w:hAnsi="Calibri" w:cs="Calibri"/>
          <w:color w:val="000000"/>
          <w:sz w:val="22"/>
        </w:rPr>
        <w:t>-</w:t>
      </w:r>
      <w:r>
        <w:rPr>
          <w:rFonts w:ascii="Calibri" w:eastAsia="Calibri" w:hAnsi="Calibri" w:cs="Calibri"/>
          <w:color w:val="000000"/>
          <w:sz w:val="22"/>
        </w:rPr>
        <w:t xml:space="preserve">type cohort because this of course is where we've seen data. Now, some additional key eligibility criteria that I'd like to highlight here is that, of course, whenever we're using an agent that hits the </w:t>
      </w:r>
      <w:r w:rsidRPr="000574B6">
        <w:rPr>
          <w:rFonts w:ascii="Calibri" w:eastAsia="Calibri" w:hAnsi="Calibri" w:cs="Calibri"/>
          <w:i/>
          <w:iCs/>
          <w:color w:val="000000"/>
          <w:sz w:val="22"/>
        </w:rPr>
        <w:t>PIK3CA</w:t>
      </w:r>
      <w:r>
        <w:rPr>
          <w:rFonts w:ascii="Calibri" w:eastAsia="Calibri" w:hAnsi="Calibri" w:cs="Calibri"/>
          <w:color w:val="000000"/>
          <w:sz w:val="22"/>
        </w:rPr>
        <w:t xml:space="preserve"> pathway or the PI3 kinase pathway, we do worry about the on</w:t>
      </w:r>
      <w:r w:rsidR="001A5DBF">
        <w:rPr>
          <w:rFonts w:ascii="Calibri" w:eastAsia="Calibri" w:hAnsi="Calibri" w:cs="Calibri"/>
          <w:color w:val="000000"/>
          <w:sz w:val="22"/>
        </w:rPr>
        <w:t>-</w:t>
      </w:r>
      <w:r>
        <w:rPr>
          <w:rFonts w:ascii="Calibri" w:eastAsia="Calibri" w:hAnsi="Calibri" w:cs="Calibri"/>
          <w:color w:val="000000"/>
          <w:sz w:val="22"/>
        </w:rPr>
        <w:t>target but off</w:t>
      </w:r>
      <w:r w:rsidR="001A5DBF">
        <w:rPr>
          <w:rFonts w:ascii="Calibri" w:eastAsia="Calibri" w:hAnsi="Calibri" w:cs="Calibri"/>
          <w:color w:val="000000"/>
          <w:sz w:val="22"/>
        </w:rPr>
        <w:t>-</w:t>
      </w:r>
      <w:r>
        <w:rPr>
          <w:rFonts w:ascii="Calibri" w:eastAsia="Calibri" w:hAnsi="Calibri" w:cs="Calibri"/>
          <w:color w:val="000000"/>
          <w:sz w:val="22"/>
        </w:rPr>
        <w:t>tumor effect of hyperglycemia. So in the VIKTORIA-1 trial, patients had to have a hemoglobin A1C less than 6.4%. Also, type</w:t>
      </w:r>
      <w:r w:rsidR="007D5837">
        <w:rPr>
          <w:rFonts w:ascii="Calibri" w:eastAsia="Calibri" w:hAnsi="Calibri" w:cs="Calibri"/>
          <w:color w:val="000000"/>
          <w:sz w:val="22"/>
        </w:rPr>
        <w:t xml:space="preserve"> </w:t>
      </w:r>
      <w:r w:rsidR="00620B5A">
        <w:rPr>
          <w:rFonts w:ascii="Calibri" w:eastAsia="Calibri" w:hAnsi="Calibri" w:cs="Calibri"/>
          <w:color w:val="000000"/>
          <w:sz w:val="22"/>
        </w:rPr>
        <w:t>1</w:t>
      </w:r>
      <w:r>
        <w:rPr>
          <w:rFonts w:ascii="Calibri" w:eastAsia="Calibri" w:hAnsi="Calibri" w:cs="Calibri"/>
          <w:color w:val="000000"/>
          <w:sz w:val="22"/>
        </w:rPr>
        <w:t xml:space="preserve"> diabetes or insulin-dependent diabetes was not </w:t>
      </w:r>
      <w:proofErr w:type="gramStart"/>
      <w:r>
        <w:rPr>
          <w:rFonts w:ascii="Calibri" w:eastAsia="Calibri" w:hAnsi="Calibri" w:cs="Calibri"/>
          <w:color w:val="000000"/>
          <w:sz w:val="22"/>
        </w:rPr>
        <w:t>allowable</w:t>
      </w:r>
      <w:proofErr w:type="gramEnd"/>
      <w:r>
        <w:rPr>
          <w:rFonts w:ascii="Calibri" w:eastAsia="Calibri" w:hAnsi="Calibri" w:cs="Calibri"/>
          <w:color w:val="000000"/>
          <w:sz w:val="22"/>
        </w:rPr>
        <w:t>. No prior mTOR inhibition, PI3-kinase inhibition or AKT inhibition was allowed</w:t>
      </w:r>
      <w:r w:rsidR="007D5837">
        <w:rPr>
          <w:rFonts w:ascii="Calibri" w:eastAsia="Calibri" w:hAnsi="Calibri" w:cs="Calibri"/>
          <w:color w:val="000000"/>
          <w:sz w:val="22"/>
        </w:rPr>
        <w:t>,</w:t>
      </w:r>
      <w:r>
        <w:rPr>
          <w:rFonts w:ascii="Calibri" w:eastAsia="Calibri" w:hAnsi="Calibri" w:cs="Calibri"/>
          <w:color w:val="000000"/>
          <w:sz w:val="22"/>
        </w:rPr>
        <w:t xml:space="preserve"> and no prior chemotherapy in </w:t>
      </w:r>
      <w:proofErr w:type="gramStart"/>
      <w:r>
        <w:rPr>
          <w:rFonts w:ascii="Calibri" w:eastAsia="Calibri" w:hAnsi="Calibri" w:cs="Calibri"/>
          <w:color w:val="000000"/>
          <w:sz w:val="22"/>
        </w:rPr>
        <w:t>the metastatic</w:t>
      </w:r>
      <w:proofErr w:type="gramEnd"/>
      <w:r>
        <w:rPr>
          <w:rFonts w:ascii="Calibri" w:eastAsia="Calibri" w:hAnsi="Calibri" w:cs="Calibri"/>
          <w:color w:val="000000"/>
          <w:sz w:val="22"/>
        </w:rPr>
        <w:t xml:space="preserve"> settings.</w:t>
      </w:r>
    </w:p>
    <w:p w14:paraId="75D7BB27" w14:textId="650F78B0"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ab/>
        <w:t>Patients in the PIK3CA wild</w:t>
      </w:r>
      <w:r w:rsidR="00620B5A">
        <w:rPr>
          <w:rFonts w:ascii="Calibri" w:eastAsia="Calibri" w:hAnsi="Calibri" w:cs="Calibri"/>
          <w:color w:val="000000"/>
          <w:sz w:val="22"/>
        </w:rPr>
        <w:t>-</w:t>
      </w:r>
      <w:r>
        <w:rPr>
          <w:rFonts w:ascii="Calibri" w:eastAsia="Calibri" w:hAnsi="Calibri" w:cs="Calibri"/>
          <w:color w:val="000000"/>
          <w:sz w:val="22"/>
        </w:rPr>
        <w:t xml:space="preserve">type cohort, and there were 392 patients, were randomized in a </w:t>
      </w:r>
      <w:r w:rsidR="00620B5A">
        <w:rPr>
          <w:rFonts w:ascii="Calibri" w:eastAsia="Calibri" w:hAnsi="Calibri" w:cs="Calibri"/>
          <w:color w:val="000000"/>
          <w:sz w:val="22"/>
        </w:rPr>
        <w:t>1</w:t>
      </w:r>
      <w:r>
        <w:rPr>
          <w:rFonts w:ascii="Calibri" w:eastAsia="Calibri" w:hAnsi="Calibri" w:cs="Calibri"/>
          <w:color w:val="000000"/>
          <w:sz w:val="22"/>
        </w:rPr>
        <w:t>-to-</w:t>
      </w:r>
      <w:r w:rsidR="00620B5A">
        <w:rPr>
          <w:rFonts w:ascii="Calibri" w:eastAsia="Calibri" w:hAnsi="Calibri" w:cs="Calibri"/>
          <w:color w:val="000000"/>
          <w:sz w:val="22"/>
        </w:rPr>
        <w:t>1</w:t>
      </w:r>
      <w:r>
        <w:rPr>
          <w:rFonts w:ascii="Calibri" w:eastAsia="Calibri" w:hAnsi="Calibri" w:cs="Calibri"/>
          <w:color w:val="000000"/>
          <w:sz w:val="22"/>
        </w:rPr>
        <w:t>-to-</w:t>
      </w:r>
      <w:r w:rsidR="00620B5A">
        <w:rPr>
          <w:rFonts w:ascii="Calibri" w:eastAsia="Calibri" w:hAnsi="Calibri" w:cs="Calibri"/>
          <w:color w:val="000000"/>
          <w:sz w:val="22"/>
        </w:rPr>
        <w:t xml:space="preserve">1 </w:t>
      </w:r>
      <w:r>
        <w:rPr>
          <w:rFonts w:ascii="Calibri" w:eastAsia="Calibri" w:hAnsi="Calibri" w:cs="Calibri"/>
          <w:color w:val="000000"/>
          <w:sz w:val="22"/>
        </w:rPr>
        <w:t xml:space="preserve">fashion to </w:t>
      </w:r>
      <w:r w:rsidR="00620B5A">
        <w:rPr>
          <w:rFonts w:ascii="Calibri" w:eastAsia="Calibri" w:hAnsi="Calibri" w:cs="Calibri"/>
          <w:color w:val="000000"/>
          <w:sz w:val="22"/>
        </w:rPr>
        <w:t xml:space="preserve">1 </w:t>
      </w:r>
      <w:r>
        <w:rPr>
          <w:rFonts w:ascii="Calibri" w:eastAsia="Calibri" w:hAnsi="Calibri" w:cs="Calibri"/>
          <w:color w:val="000000"/>
          <w:sz w:val="22"/>
        </w:rPr>
        <w:t xml:space="preserve">of </w:t>
      </w:r>
      <w:r w:rsidR="00620B5A">
        <w:rPr>
          <w:rFonts w:ascii="Calibri" w:eastAsia="Calibri" w:hAnsi="Calibri" w:cs="Calibri"/>
          <w:color w:val="000000"/>
          <w:sz w:val="22"/>
        </w:rPr>
        <w:t xml:space="preserve">3 </w:t>
      </w:r>
      <w:r>
        <w:rPr>
          <w:rFonts w:ascii="Calibri" w:eastAsia="Calibri" w:hAnsi="Calibri" w:cs="Calibri"/>
          <w:color w:val="000000"/>
          <w:sz w:val="22"/>
        </w:rPr>
        <w:t xml:space="preserve">arms. And I'll start with what is termed or referred to as arm A, which is essentially the combination of </w:t>
      </w:r>
      <w:proofErr w:type="spellStart"/>
      <w:r>
        <w:rPr>
          <w:rFonts w:ascii="Calibri" w:eastAsia="Calibri" w:hAnsi="Calibri" w:cs="Calibri"/>
          <w:color w:val="000000"/>
          <w:sz w:val="22"/>
        </w:rPr>
        <w:t>gedatolisib</w:t>
      </w:r>
      <w:proofErr w:type="spellEnd"/>
      <w:r>
        <w:rPr>
          <w:rFonts w:ascii="Calibri" w:eastAsia="Calibri" w:hAnsi="Calibri" w:cs="Calibri"/>
          <w:color w:val="000000"/>
          <w:sz w:val="22"/>
        </w:rPr>
        <w:t xml:space="preserve"> with palbociclib with </w:t>
      </w:r>
      <w:proofErr w:type="gramStart"/>
      <w:r>
        <w:rPr>
          <w:rFonts w:ascii="Calibri" w:eastAsia="Calibri" w:hAnsi="Calibri" w:cs="Calibri"/>
          <w:color w:val="000000"/>
          <w:sz w:val="22"/>
        </w:rPr>
        <w:t>fulvestrant</w:t>
      </w:r>
      <w:proofErr w:type="gramEnd"/>
      <w:r>
        <w:rPr>
          <w:rFonts w:ascii="Calibri" w:eastAsia="Calibri" w:hAnsi="Calibri" w:cs="Calibri"/>
          <w:color w:val="000000"/>
          <w:sz w:val="22"/>
        </w:rPr>
        <w:t xml:space="preserve">. This is of course the triplet combination arm. Palbociclib is a CDK4/6 inhibitor that is delivered by oral administration. And the standard dosing was used here, 125 milligrams, </w:t>
      </w:r>
      <w:r w:rsidR="00620B5A">
        <w:rPr>
          <w:rFonts w:ascii="Calibri" w:eastAsia="Calibri" w:hAnsi="Calibri" w:cs="Calibri"/>
          <w:color w:val="000000"/>
          <w:sz w:val="22"/>
        </w:rPr>
        <w:t xml:space="preserve">3 </w:t>
      </w:r>
      <w:r>
        <w:rPr>
          <w:rFonts w:ascii="Calibri" w:eastAsia="Calibri" w:hAnsi="Calibri" w:cs="Calibri"/>
          <w:color w:val="000000"/>
          <w:sz w:val="22"/>
        </w:rPr>
        <w:t xml:space="preserve">weeks on, </w:t>
      </w:r>
      <w:r w:rsidR="00620B5A">
        <w:rPr>
          <w:rFonts w:ascii="Calibri" w:eastAsia="Calibri" w:hAnsi="Calibri" w:cs="Calibri"/>
          <w:color w:val="000000"/>
          <w:sz w:val="22"/>
        </w:rPr>
        <w:t xml:space="preserve">1 </w:t>
      </w:r>
      <w:r>
        <w:rPr>
          <w:rFonts w:ascii="Calibri" w:eastAsia="Calibri" w:hAnsi="Calibri" w:cs="Calibri"/>
          <w:color w:val="000000"/>
          <w:sz w:val="22"/>
        </w:rPr>
        <w:t>week off</w:t>
      </w:r>
      <w:r w:rsidR="007D5837">
        <w:rPr>
          <w:rFonts w:ascii="Calibri" w:eastAsia="Calibri" w:hAnsi="Calibri" w:cs="Calibri"/>
          <w:color w:val="000000"/>
          <w:sz w:val="22"/>
        </w:rPr>
        <w:t>,</w:t>
      </w:r>
      <w:r>
        <w:rPr>
          <w:rFonts w:ascii="Calibri" w:eastAsia="Calibri" w:hAnsi="Calibri" w:cs="Calibri"/>
          <w:color w:val="000000"/>
          <w:sz w:val="22"/>
        </w:rPr>
        <w:t xml:space="preserve"> in combination with fulvestrant, which again, we all know is a</w:t>
      </w:r>
      <w:r w:rsidR="007D5837">
        <w:rPr>
          <w:rFonts w:ascii="Calibri" w:eastAsia="Calibri" w:hAnsi="Calibri" w:cs="Calibri"/>
          <w:color w:val="000000"/>
          <w:sz w:val="22"/>
        </w:rPr>
        <w:t>n</w:t>
      </w:r>
      <w:r>
        <w:rPr>
          <w:rFonts w:ascii="Calibri" w:eastAsia="Calibri" w:hAnsi="Calibri" w:cs="Calibri"/>
          <w:color w:val="000000"/>
          <w:sz w:val="22"/>
        </w:rPr>
        <w:t xml:space="preserve"> intramuscular injection. Gedatolisib, the </w:t>
      </w:r>
      <w:proofErr w:type="gramStart"/>
      <w:r>
        <w:rPr>
          <w:rFonts w:ascii="Calibri" w:eastAsia="Calibri" w:hAnsi="Calibri" w:cs="Calibri"/>
          <w:color w:val="000000"/>
          <w:sz w:val="22"/>
        </w:rPr>
        <w:t>investigational</w:t>
      </w:r>
      <w:proofErr w:type="gramEnd"/>
      <w:r>
        <w:rPr>
          <w:rFonts w:ascii="Calibri" w:eastAsia="Calibri" w:hAnsi="Calibri" w:cs="Calibri"/>
          <w:color w:val="000000"/>
          <w:sz w:val="22"/>
        </w:rPr>
        <w:t xml:space="preserve"> agent </w:t>
      </w:r>
      <w:r>
        <w:rPr>
          <w:rFonts w:ascii="Calibri" w:eastAsia="Calibri" w:hAnsi="Calibri" w:cs="Calibri"/>
          <w:color w:val="000000"/>
          <w:sz w:val="22"/>
        </w:rPr>
        <w:lastRenderedPageBreak/>
        <w:t xml:space="preserve">here in VIKTORIA-1 is an IV administration, and that is dosed at 180 milligrams IV once weekly. And this is </w:t>
      </w:r>
      <w:proofErr w:type="gramStart"/>
      <w:r>
        <w:rPr>
          <w:rFonts w:ascii="Calibri" w:eastAsia="Calibri" w:hAnsi="Calibri" w:cs="Calibri"/>
          <w:color w:val="000000"/>
          <w:sz w:val="22"/>
        </w:rPr>
        <w:t xml:space="preserve">a </w:t>
      </w:r>
      <w:r w:rsidR="00620B5A">
        <w:rPr>
          <w:rFonts w:ascii="Calibri" w:eastAsia="Calibri" w:hAnsi="Calibri" w:cs="Calibri"/>
          <w:color w:val="000000"/>
          <w:sz w:val="22"/>
        </w:rPr>
        <w:t xml:space="preserve">3 </w:t>
      </w:r>
      <w:r>
        <w:rPr>
          <w:rFonts w:ascii="Calibri" w:eastAsia="Calibri" w:hAnsi="Calibri" w:cs="Calibri"/>
          <w:color w:val="000000"/>
          <w:sz w:val="22"/>
        </w:rPr>
        <w:t>weeks</w:t>
      </w:r>
      <w:proofErr w:type="gramEnd"/>
      <w:r>
        <w:rPr>
          <w:rFonts w:ascii="Calibri" w:eastAsia="Calibri" w:hAnsi="Calibri" w:cs="Calibri"/>
          <w:color w:val="000000"/>
          <w:sz w:val="22"/>
        </w:rPr>
        <w:t xml:space="preserve"> on, </w:t>
      </w:r>
      <w:r w:rsidR="00620B5A">
        <w:rPr>
          <w:rFonts w:ascii="Calibri" w:eastAsia="Calibri" w:hAnsi="Calibri" w:cs="Calibri"/>
          <w:color w:val="000000"/>
          <w:sz w:val="22"/>
        </w:rPr>
        <w:t xml:space="preserve">1 </w:t>
      </w:r>
      <w:r>
        <w:rPr>
          <w:rFonts w:ascii="Calibri" w:eastAsia="Calibri" w:hAnsi="Calibri" w:cs="Calibri"/>
          <w:color w:val="000000"/>
          <w:sz w:val="22"/>
        </w:rPr>
        <w:t>week off schedule. So that was this arm A.</w:t>
      </w:r>
    </w:p>
    <w:p w14:paraId="7033CE1C" w14:textId="1B100944"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ab/>
        <w:t>Now, arm B was testing the doublet combination without the palbociclib. So this is gedatolisib plus fulvestrant. Arm C was the control arm, which was fulvestrant monotherapy. There was optional crossover built into the trial. So</w:t>
      </w:r>
      <w:r w:rsidR="007D5837">
        <w:rPr>
          <w:rFonts w:ascii="Calibri" w:eastAsia="Calibri" w:hAnsi="Calibri" w:cs="Calibri"/>
          <w:color w:val="000000"/>
          <w:sz w:val="22"/>
        </w:rPr>
        <w:t>,</w:t>
      </w:r>
      <w:r>
        <w:rPr>
          <w:rFonts w:ascii="Calibri" w:eastAsia="Calibri" w:hAnsi="Calibri" w:cs="Calibri"/>
          <w:color w:val="000000"/>
          <w:sz w:val="22"/>
        </w:rPr>
        <w:t xml:space="preserve"> patients who were randomized to the control arm C, fulvestrant monotherapy, there was optional crossover to either the </w:t>
      </w:r>
      <w:proofErr w:type="gramStart"/>
      <w:r>
        <w:rPr>
          <w:rFonts w:ascii="Calibri" w:eastAsia="Calibri" w:hAnsi="Calibri" w:cs="Calibri"/>
          <w:color w:val="000000"/>
          <w:sz w:val="22"/>
        </w:rPr>
        <w:t>triplet  or</w:t>
      </w:r>
      <w:proofErr w:type="gramEnd"/>
      <w:r>
        <w:rPr>
          <w:rFonts w:ascii="Calibri" w:eastAsia="Calibri" w:hAnsi="Calibri" w:cs="Calibri"/>
          <w:color w:val="000000"/>
          <w:sz w:val="22"/>
        </w:rPr>
        <w:t xml:space="preserve"> doublet therapy at the time of progression. The primary endpoint of the trial was progression-free survival, and this was specifically comparing arm A, the triplet to the control arm, fulvestrant monotherapy, or arm B, the doublet to the fulvestrant monotherapy control arm. Key secondary endpoints, of course, included overall survival, tumor response safety</w:t>
      </w:r>
      <w:r w:rsidR="007D5837">
        <w:rPr>
          <w:rFonts w:ascii="Calibri" w:eastAsia="Calibri" w:hAnsi="Calibri" w:cs="Calibri"/>
          <w:color w:val="000000"/>
          <w:sz w:val="22"/>
        </w:rPr>
        <w:t>,</w:t>
      </w:r>
      <w:r>
        <w:rPr>
          <w:rFonts w:ascii="Calibri" w:eastAsia="Calibri" w:hAnsi="Calibri" w:cs="Calibri"/>
          <w:color w:val="000000"/>
          <w:sz w:val="22"/>
        </w:rPr>
        <w:t xml:space="preserve"> and quality of life.</w:t>
      </w:r>
    </w:p>
    <w:p w14:paraId="0E770D9F" w14:textId="2586FABD"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ab/>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in the triplet arm, gedatolisib, palbociclib, fulvestrant, median progression-free survival</w:t>
      </w:r>
      <w:r w:rsidR="001A5DBF">
        <w:rPr>
          <w:rFonts w:ascii="Calibri" w:eastAsia="Calibri" w:hAnsi="Calibri" w:cs="Calibri"/>
          <w:color w:val="000000"/>
          <w:sz w:val="22"/>
        </w:rPr>
        <w:t xml:space="preserve"> </w:t>
      </w:r>
      <w:r>
        <w:rPr>
          <w:rFonts w:ascii="Calibri" w:eastAsia="Calibri" w:hAnsi="Calibri" w:cs="Calibri"/>
          <w:color w:val="000000"/>
          <w:sz w:val="22"/>
        </w:rPr>
        <w:t xml:space="preserve">was 9.3 months versus </w:t>
      </w:r>
      <w:r w:rsidR="00620B5A">
        <w:rPr>
          <w:rFonts w:ascii="Calibri" w:eastAsia="Calibri" w:hAnsi="Calibri" w:cs="Calibri"/>
          <w:color w:val="000000"/>
          <w:sz w:val="22"/>
        </w:rPr>
        <w:t xml:space="preserve">2 </w:t>
      </w:r>
      <w:r>
        <w:rPr>
          <w:rFonts w:ascii="Calibri" w:eastAsia="Calibri" w:hAnsi="Calibri" w:cs="Calibri"/>
          <w:color w:val="000000"/>
          <w:sz w:val="22"/>
        </w:rPr>
        <w:t>months in the fulvestrant arm. And of course, this was a significant difference favoring the triplet with a hazard ratio of 0.24. Now, we know, of course, that fulvestrant monotherapy tends to perform poorly in this setting, but I think, of course, the proof of principle here is that that triplet has really widened that delta benefit or gap in terms of a PFS benefit.</w:t>
      </w:r>
    </w:p>
    <w:p w14:paraId="08525393" w14:textId="49432B1F"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ab/>
        <w:t xml:space="preserve">Now, if we look at the doublet of </w:t>
      </w:r>
      <w:proofErr w:type="spellStart"/>
      <w:r>
        <w:rPr>
          <w:rFonts w:ascii="Calibri" w:eastAsia="Calibri" w:hAnsi="Calibri" w:cs="Calibri"/>
          <w:color w:val="000000"/>
          <w:sz w:val="22"/>
        </w:rPr>
        <w:t>gedatolisib</w:t>
      </w:r>
      <w:proofErr w:type="spellEnd"/>
      <w:r>
        <w:rPr>
          <w:rFonts w:ascii="Calibri" w:eastAsia="Calibri" w:hAnsi="Calibri" w:cs="Calibri"/>
          <w:color w:val="000000"/>
          <w:sz w:val="22"/>
        </w:rPr>
        <w:t xml:space="preserve"> plus </w:t>
      </w:r>
      <w:proofErr w:type="gramStart"/>
      <w:r>
        <w:rPr>
          <w:rFonts w:ascii="Calibri" w:eastAsia="Calibri" w:hAnsi="Calibri" w:cs="Calibri"/>
          <w:color w:val="000000"/>
          <w:sz w:val="22"/>
        </w:rPr>
        <w:t>fulvestrant</w:t>
      </w:r>
      <w:proofErr w:type="gramEnd"/>
      <w:r>
        <w:rPr>
          <w:rFonts w:ascii="Calibri" w:eastAsia="Calibri" w:hAnsi="Calibri" w:cs="Calibri"/>
          <w:color w:val="000000"/>
          <w:sz w:val="22"/>
        </w:rPr>
        <w:t xml:space="preserve">, median progression-free survival was 7.4 months. So again, this represents a significant improvement in median PFS favoring the gedatolisib doublet with a hazard ratio of 0.33. Now, if you look at some of the Kaplan-Meier curves, I think it is important to point out that you do see that separation in the curves </w:t>
      </w:r>
      <w:proofErr w:type="gramStart"/>
      <w:r>
        <w:rPr>
          <w:rFonts w:ascii="Calibri" w:eastAsia="Calibri" w:hAnsi="Calibri" w:cs="Calibri"/>
          <w:color w:val="000000"/>
          <w:sz w:val="22"/>
        </w:rPr>
        <w:t>really right</w:t>
      </w:r>
      <w:proofErr w:type="gramEnd"/>
      <w:r>
        <w:rPr>
          <w:rFonts w:ascii="Calibri" w:eastAsia="Calibri" w:hAnsi="Calibri" w:cs="Calibri"/>
          <w:color w:val="000000"/>
          <w:sz w:val="22"/>
        </w:rPr>
        <w:t xml:space="preserve"> at that time of the first scan at </w:t>
      </w:r>
      <w:r w:rsidR="00620B5A">
        <w:rPr>
          <w:rFonts w:ascii="Calibri" w:eastAsia="Calibri" w:hAnsi="Calibri" w:cs="Calibri"/>
          <w:color w:val="000000"/>
          <w:sz w:val="22"/>
        </w:rPr>
        <w:t xml:space="preserve">2 </w:t>
      </w:r>
      <w:r>
        <w:rPr>
          <w:rFonts w:ascii="Calibri" w:eastAsia="Calibri" w:hAnsi="Calibri" w:cs="Calibri"/>
          <w:color w:val="000000"/>
          <w:sz w:val="22"/>
        </w:rPr>
        <w:t>months, favoring the gedatolisib arm. Of course, we await longer</w:t>
      </w:r>
      <w:r w:rsidR="00620B5A">
        <w:rPr>
          <w:rFonts w:ascii="Calibri" w:eastAsia="Calibri" w:hAnsi="Calibri" w:cs="Calibri"/>
          <w:color w:val="000000"/>
          <w:sz w:val="22"/>
        </w:rPr>
        <w:t>-</w:t>
      </w:r>
      <w:r>
        <w:rPr>
          <w:rFonts w:ascii="Calibri" w:eastAsia="Calibri" w:hAnsi="Calibri" w:cs="Calibri"/>
          <w:color w:val="000000"/>
          <w:sz w:val="22"/>
        </w:rPr>
        <w:t>term data, but I think this initial readout is really promising in terms of efficacy. Now, in terms of tolerability overall, the combination does seem to be tolerable. In fact, I have to say I was really skeptical of tolerability going into the trial, combining so many different pathway inhibitions at once, but pleasantly surprised, I would say, in terms of the overall tolerability of both the triplet and the doublet.</w:t>
      </w:r>
    </w:p>
    <w:p w14:paraId="595CD477" w14:textId="4AEC3AC4"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ab/>
        <w:t xml:space="preserve">We see what you would expect </w:t>
      </w:r>
      <w:proofErr w:type="gramStart"/>
      <w:r>
        <w:rPr>
          <w:rFonts w:ascii="Calibri" w:eastAsia="Calibri" w:hAnsi="Calibri" w:cs="Calibri"/>
          <w:color w:val="000000"/>
          <w:sz w:val="22"/>
        </w:rPr>
        <w:t>for  inhibition</w:t>
      </w:r>
      <w:proofErr w:type="gramEnd"/>
      <w:r>
        <w:rPr>
          <w:rFonts w:ascii="Calibri" w:eastAsia="Calibri" w:hAnsi="Calibri" w:cs="Calibri"/>
          <w:color w:val="000000"/>
          <w:sz w:val="22"/>
        </w:rPr>
        <w:t xml:space="preserve"> of these pathways, so cytopenias, neutropenia, consistent with the CDK4/6 inhibition or palbociclib inclusion. We also see some degree of stomatitis, but this happens to be early</w:t>
      </w:r>
      <w:r w:rsidR="00620B5A">
        <w:rPr>
          <w:rFonts w:ascii="Calibri" w:eastAsia="Calibri" w:hAnsi="Calibri" w:cs="Calibri"/>
          <w:color w:val="000000"/>
          <w:sz w:val="22"/>
        </w:rPr>
        <w:t>-</w:t>
      </w:r>
      <w:r>
        <w:rPr>
          <w:rFonts w:ascii="Calibri" w:eastAsia="Calibri" w:hAnsi="Calibri" w:cs="Calibri"/>
          <w:color w:val="000000"/>
          <w:sz w:val="22"/>
        </w:rPr>
        <w:t>grade, as well as diarrhea, which can be earl</w:t>
      </w:r>
      <w:r w:rsidR="007D5837">
        <w:rPr>
          <w:rFonts w:ascii="Calibri" w:eastAsia="Calibri" w:hAnsi="Calibri" w:cs="Calibri"/>
          <w:color w:val="000000"/>
          <w:sz w:val="22"/>
        </w:rPr>
        <w:t>y</w:t>
      </w:r>
      <w:r w:rsidR="00620B5A">
        <w:rPr>
          <w:rFonts w:ascii="Calibri" w:eastAsia="Calibri" w:hAnsi="Calibri" w:cs="Calibri"/>
          <w:color w:val="000000"/>
          <w:sz w:val="22"/>
        </w:rPr>
        <w:t>-</w:t>
      </w:r>
      <w:r>
        <w:rPr>
          <w:rFonts w:ascii="Calibri" w:eastAsia="Calibri" w:hAnsi="Calibri" w:cs="Calibri"/>
          <w:color w:val="000000"/>
          <w:sz w:val="22"/>
        </w:rPr>
        <w:t xml:space="preserve">grade. And then the other AE that I'll highlight is hyperglycemia, keeping in mind that patients had to have a hemoglobin A1C less than 6.4%, but we certainly see less hyperglycemia here than what we typically see in pure PI3 kinase inhibitors. But overall, I think when we balance the efficacy with the tolerability and safety, we are seeing a risk benefit profile that's quite favorable here. I don't know, Seth, how you interpret these data, but I was, I have to say, particularly impressed in terms of that median PFS over the </w:t>
      </w:r>
      <w:r w:rsidR="00620B5A">
        <w:rPr>
          <w:rFonts w:ascii="Calibri" w:eastAsia="Calibri" w:hAnsi="Calibri" w:cs="Calibri"/>
          <w:color w:val="000000"/>
          <w:sz w:val="22"/>
        </w:rPr>
        <w:t>6</w:t>
      </w:r>
      <w:r>
        <w:rPr>
          <w:rFonts w:ascii="Calibri" w:eastAsia="Calibri" w:hAnsi="Calibri" w:cs="Calibri"/>
          <w:color w:val="000000"/>
          <w:sz w:val="22"/>
        </w:rPr>
        <w:t>-month mark, 9.3 with the triplet</w:t>
      </w:r>
      <w:r w:rsidR="00620B5A">
        <w:rPr>
          <w:rFonts w:ascii="Calibri" w:eastAsia="Calibri" w:hAnsi="Calibri" w:cs="Calibri"/>
          <w:color w:val="000000"/>
          <w:sz w:val="22"/>
        </w:rPr>
        <w:t>,</w:t>
      </w:r>
      <w:r>
        <w:rPr>
          <w:rFonts w:ascii="Calibri" w:eastAsia="Calibri" w:hAnsi="Calibri" w:cs="Calibri"/>
          <w:color w:val="000000"/>
          <w:sz w:val="22"/>
        </w:rPr>
        <w:t xml:space="preserve"> and 7.4% with the doublet. Curious to get your impressions.</w:t>
      </w:r>
    </w:p>
    <w:p w14:paraId="594FBD8F" w14:textId="35810335"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Seth Wander, MD:</w:t>
      </w:r>
      <w:r>
        <w:rPr>
          <w:rFonts w:ascii="Calibri" w:eastAsia="Calibri" w:hAnsi="Calibri" w:cs="Calibri"/>
          <w:color w:val="000000"/>
          <w:sz w:val="22"/>
        </w:rPr>
        <w:tab/>
        <w:t xml:space="preserve">Yeah. Thanks, Neil, for that great overview. One thing I would highlight is if we look at the magnitude of benefit for fulvestrant monotherapy after progression on a CDK4/6 inhibitor in the modern era, this is a really important area of clinical unmet need. And as you also mentioned, </w:t>
      </w:r>
      <w:r w:rsidR="001A5DBF">
        <w:rPr>
          <w:rFonts w:ascii="Calibri" w:eastAsia="Calibri" w:hAnsi="Calibri" w:cs="Calibri"/>
          <w:color w:val="000000"/>
          <w:sz w:val="22"/>
        </w:rPr>
        <w:t xml:space="preserve">1 </w:t>
      </w:r>
      <w:r>
        <w:rPr>
          <w:rFonts w:ascii="Calibri" w:eastAsia="Calibri" w:hAnsi="Calibri" w:cs="Calibri"/>
          <w:color w:val="000000"/>
          <w:sz w:val="22"/>
        </w:rPr>
        <w:t xml:space="preserve">of the most impressive aspects of this data set is the activity in </w:t>
      </w:r>
      <w:proofErr w:type="gramStart"/>
      <w:r>
        <w:rPr>
          <w:rFonts w:ascii="Calibri" w:eastAsia="Calibri" w:hAnsi="Calibri" w:cs="Calibri"/>
          <w:color w:val="000000"/>
          <w:sz w:val="22"/>
        </w:rPr>
        <w:lastRenderedPageBreak/>
        <w:t>the patients</w:t>
      </w:r>
      <w:proofErr w:type="gramEnd"/>
      <w:r>
        <w:rPr>
          <w:rFonts w:ascii="Calibri" w:eastAsia="Calibri" w:hAnsi="Calibri" w:cs="Calibri"/>
          <w:color w:val="000000"/>
          <w:sz w:val="22"/>
        </w:rPr>
        <w:t xml:space="preserve"> with no specific mutation.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haven't yet seen data from this doublet and this triplet with this next</w:t>
      </w:r>
      <w:r w:rsidR="007D5837">
        <w:rPr>
          <w:rFonts w:ascii="Calibri" w:eastAsia="Calibri" w:hAnsi="Calibri" w:cs="Calibri"/>
          <w:color w:val="000000"/>
          <w:sz w:val="22"/>
        </w:rPr>
        <w:t>-</w:t>
      </w:r>
      <w:r>
        <w:rPr>
          <w:rFonts w:ascii="Calibri" w:eastAsia="Calibri" w:hAnsi="Calibri" w:cs="Calibri"/>
          <w:color w:val="000000"/>
          <w:sz w:val="22"/>
        </w:rPr>
        <w:t xml:space="preserve">generation PAM pathway inhibitor in the patients who have PAM pathway alterations. That data's </w:t>
      </w:r>
      <w:proofErr w:type="gramStart"/>
      <w:r>
        <w:rPr>
          <w:rFonts w:ascii="Calibri" w:eastAsia="Calibri" w:hAnsi="Calibri" w:cs="Calibri"/>
          <w:color w:val="000000"/>
          <w:sz w:val="22"/>
        </w:rPr>
        <w:t>coming in the future</w:t>
      </w:r>
      <w:proofErr w:type="gramEnd"/>
      <w:r>
        <w:rPr>
          <w:rFonts w:ascii="Calibri" w:eastAsia="Calibri" w:hAnsi="Calibri" w:cs="Calibri"/>
          <w:color w:val="000000"/>
          <w:sz w:val="22"/>
        </w:rPr>
        <w:t xml:space="preserve">. And we hope that if anything, it would look potentially better. But here, we have activity on the order of </w:t>
      </w:r>
      <w:r w:rsidR="001A5DBF">
        <w:rPr>
          <w:rFonts w:ascii="Calibri" w:eastAsia="Calibri" w:hAnsi="Calibri" w:cs="Calibri"/>
          <w:color w:val="000000"/>
          <w:sz w:val="22"/>
        </w:rPr>
        <w:t>9-</w:t>
      </w:r>
      <w:r>
        <w:rPr>
          <w:rFonts w:ascii="Calibri" w:eastAsia="Calibri" w:hAnsi="Calibri" w:cs="Calibri"/>
          <w:color w:val="000000"/>
          <w:sz w:val="22"/>
        </w:rPr>
        <w:t xml:space="preserve">plus months in a population where the current standard of care, if you're looking at fulvestrant monotherapy, really is only on the order of </w:t>
      </w:r>
      <w:r w:rsidR="001A5DBF">
        <w:rPr>
          <w:rFonts w:ascii="Calibri" w:eastAsia="Calibri" w:hAnsi="Calibri" w:cs="Calibri"/>
          <w:color w:val="000000"/>
          <w:sz w:val="22"/>
        </w:rPr>
        <w:t xml:space="preserve">2 </w:t>
      </w:r>
      <w:r>
        <w:rPr>
          <w:rFonts w:ascii="Calibri" w:eastAsia="Calibri" w:hAnsi="Calibri" w:cs="Calibri"/>
          <w:color w:val="000000"/>
          <w:sz w:val="22"/>
        </w:rPr>
        <w:t xml:space="preserve">to </w:t>
      </w:r>
      <w:r w:rsidR="001A5DBF">
        <w:rPr>
          <w:rFonts w:ascii="Calibri" w:eastAsia="Calibri" w:hAnsi="Calibri" w:cs="Calibri"/>
          <w:color w:val="000000"/>
          <w:sz w:val="22"/>
        </w:rPr>
        <w:t xml:space="preserve">4 </w:t>
      </w:r>
      <w:r>
        <w:rPr>
          <w:rFonts w:ascii="Calibri" w:eastAsia="Calibri" w:hAnsi="Calibri" w:cs="Calibri"/>
          <w:color w:val="000000"/>
          <w:sz w:val="22"/>
        </w:rPr>
        <w:t>months.</w:t>
      </w:r>
    </w:p>
    <w:p w14:paraId="6327F91A" w14:textId="349EFFFD"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ab/>
        <w:t>And as you mentioned, this is a generally well</w:t>
      </w:r>
      <w:r w:rsidR="007D5837">
        <w:rPr>
          <w:rFonts w:ascii="Calibri" w:eastAsia="Calibri" w:hAnsi="Calibri" w:cs="Calibri"/>
          <w:color w:val="000000"/>
          <w:sz w:val="22"/>
        </w:rPr>
        <w:t>-</w:t>
      </w:r>
      <w:r>
        <w:rPr>
          <w:rFonts w:ascii="Calibri" w:eastAsia="Calibri" w:hAnsi="Calibri" w:cs="Calibri"/>
          <w:color w:val="000000"/>
          <w:sz w:val="22"/>
        </w:rPr>
        <w:t xml:space="preserve">tolerated </w:t>
      </w:r>
      <w:proofErr w:type="gramStart"/>
      <w:r>
        <w:rPr>
          <w:rFonts w:ascii="Calibri" w:eastAsia="Calibri" w:hAnsi="Calibri" w:cs="Calibri"/>
          <w:color w:val="000000"/>
          <w:sz w:val="22"/>
        </w:rPr>
        <w:t>regimen</w:t>
      </w:r>
      <w:proofErr w:type="gramEnd"/>
      <w:r>
        <w:rPr>
          <w:rFonts w:ascii="Calibri" w:eastAsia="Calibri" w:hAnsi="Calibri" w:cs="Calibri"/>
          <w:color w:val="000000"/>
          <w:sz w:val="22"/>
        </w:rPr>
        <w:t xml:space="preserve"> with some expected toxicities that I think we have experience managing in the clinic. So we're really starting to move the needle forward here in the subgroup of patients who don't have ESR1, who don't have PAM pathway alterations. And I think this </w:t>
      </w:r>
      <w:r w:rsidR="001A5DBF">
        <w:rPr>
          <w:rFonts w:ascii="Calibri" w:eastAsia="Calibri" w:hAnsi="Calibri" w:cs="Calibri"/>
          <w:color w:val="000000"/>
          <w:sz w:val="22"/>
        </w:rPr>
        <w:t>r</w:t>
      </w:r>
      <w:r>
        <w:rPr>
          <w:rFonts w:ascii="Calibri" w:eastAsia="Calibri" w:hAnsi="Calibri" w:cs="Calibri"/>
          <w:color w:val="000000"/>
          <w:sz w:val="22"/>
        </w:rPr>
        <w:t>egimen will have an important place in the future, at least in that population, and perhaps beyond that, as we start to look at the impact of this drug, even in biomarker</w:t>
      </w:r>
      <w:r w:rsidR="001A5DBF">
        <w:rPr>
          <w:rFonts w:ascii="Calibri" w:eastAsia="Calibri" w:hAnsi="Calibri" w:cs="Calibri"/>
          <w:color w:val="000000"/>
          <w:sz w:val="22"/>
        </w:rPr>
        <w:t>-</w:t>
      </w:r>
      <w:r>
        <w:rPr>
          <w:rFonts w:ascii="Calibri" w:eastAsia="Calibri" w:hAnsi="Calibri" w:cs="Calibri"/>
          <w:color w:val="000000"/>
          <w:sz w:val="22"/>
        </w:rPr>
        <w:t>selected populations.</w:t>
      </w:r>
    </w:p>
    <w:p w14:paraId="0F8C58B4" w14:textId="52CF4F39"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Neil Iyengar, M</w:t>
      </w:r>
      <w:r w:rsidR="00232B4A">
        <w:rPr>
          <w:rFonts w:ascii="Calibri" w:eastAsia="Calibri" w:hAnsi="Calibri" w:cs="Calibri"/>
          <w:color w:val="000000"/>
          <w:sz w:val="22"/>
        </w:rPr>
        <w:t>D</w:t>
      </w:r>
      <w:r>
        <w:rPr>
          <w:rFonts w:ascii="Calibri" w:eastAsia="Calibri" w:hAnsi="Calibri" w:cs="Calibri"/>
          <w:color w:val="000000"/>
          <w:sz w:val="22"/>
        </w:rPr>
        <w:t>:</w:t>
      </w:r>
      <w:r>
        <w:rPr>
          <w:rFonts w:ascii="Calibri" w:eastAsia="Calibri" w:hAnsi="Calibri" w:cs="Calibri"/>
          <w:color w:val="000000"/>
          <w:sz w:val="22"/>
        </w:rPr>
        <w:tab/>
        <w:t xml:space="preserve">I think we're both impressed by the efficacy readout. I just want to emphasize that as we think about using a therapy or a therapeutic strategy like this, the trade-off, of course, is how we manage the adverse effects, but we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be proactive about it, AEs that we can optimize or reduce the risk of severity if we're proactive. Lifestyle intervention can be really helpful in the proactive setting, but it really sets patients up well if they do have to reach for that next therapy. By the time we're reaching for an inhibitor of the AKT, PI3 kinase pathway, starting off with a more optimal glycemic status and metabolic status in general can be very helpful in terms of minimizing the impact of that hyperglycemia.</w:t>
      </w:r>
    </w:p>
    <w:p w14:paraId="1633A758" w14:textId="206A17F5"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ab/>
        <w:t>But overall, I'm very encouraged by this data. And</w:t>
      </w:r>
      <w:r w:rsidR="001A5DBF">
        <w:rPr>
          <w:rFonts w:ascii="Calibri" w:eastAsia="Calibri" w:hAnsi="Calibri" w:cs="Calibri"/>
          <w:color w:val="000000"/>
          <w:sz w:val="22"/>
        </w:rPr>
        <w:t xml:space="preserve"> </w:t>
      </w:r>
      <w:r>
        <w:rPr>
          <w:rFonts w:ascii="Calibri" w:eastAsia="Calibri" w:hAnsi="Calibri" w:cs="Calibri"/>
          <w:color w:val="000000"/>
          <w:sz w:val="22"/>
        </w:rPr>
        <w:t>as Seth mentioned, we'll see in the future more specific data and biomarker-specific data or specific genomic alterations in some of these pathways to see if there's a differential response, and whether these are predictors of response, or whether or not you see sort of PAM benefit, if you will, when you inhibit all of these pathways at once and take all comers. I think these are some unanswered questions that we're eager to see answers to in the near future.</w:t>
      </w:r>
    </w:p>
    <w:p w14:paraId="56A7860D" w14:textId="3328B0B3" w:rsidR="00A77B3E" w:rsidRDefault="0041172F" w:rsidP="00232B4A">
      <w:pPr>
        <w:spacing w:before="240" w:beforeAutospacing="1"/>
        <w:ind w:left="2520" w:hanging="2520"/>
        <w:rPr>
          <w:rFonts w:ascii="Calibri" w:eastAsia="Calibri" w:hAnsi="Calibri" w:cs="Calibri"/>
          <w:color w:val="000000"/>
          <w:sz w:val="22"/>
        </w:rPr>
      </w:pPr>
      <w:r>
        <w:rPr>
          <w:rFonts w:ascii="Calibri" w:eastAsia="Calibri" w:hAnsi="Calibri" w:cs="Calibri"/>
          <w:color w:val="000000"/>
          <w:sz w:val="22"/>
        </w:rPr>
        <w:t>Podcast Moderat</w:t>
      </w:r>
      <w:r w:rsidR="00232B4A">
        <w:rPr>
          <w:rFonts w:ascii="Calibri" w:eastAsia="Calibri" w:hAnsi="Calibri" w:cs="Calibri"/>
          <w:color w:val="000000"/>
          <w:sz w:val="22"/>
        </w:rPr>
        <w:t>or</w:t>
      </w:r>
      <w:r>
        <w:rPr>
          <w:rFonts w:ascii="Calibri" w:eastAsia="Calibri" w:hAnsi="Calibri" w:cs="Calibri"/>
          <w:color w:val="000000"/>
          <w:sz w:val="22"/>
        </w:rPr>
        <w:t>:</w:t>
      </w:r>
      <w:r>
        <w:rPr>
          <w:rFonts w:ascii="Calibri" w:eastAsia="Calibri" w:hAnsi="Calibri" w:cs="Calibri"/>
          <w:color w:val="000000"/>
          <w:sz w:val="22"/>
        </w:rPr>
        <w:tab/>
        <w:t xml:space="preserve">Thank you. Really exciting results and looking forward to hearing more as this trial unfolds. Hopefully we'll get you back in the studio to tell us all about it when the time comes, but for now, we are going to have you back for our next episode where we are going to discuss new trial results, investigating neoadjuvant </w:t>
      </w:r>
      <w:proofErr w:type="spellStart"/>
      <w:r>
        <w:rPr>
          <w:rFonts w:ascii="Calibri" w:eastAsia="Calibri" w:hAnsi="Calibri" w:cs="Calibri"/>
          <w:color w:val="000000"/>
          <w:sz w:val="22"/>
        </w:rPr>
        <w:t>vepdegestrant</w:t>
      </w:r>
      <w:proofErr w:type="spellEnd"/>
      <w:r>
        <w:rPr>
          <w:rFonts w:ascii="Calibri" w:eastAsia="Calibri" w:hAnsi="Calibri" w:cs="Calibri"/>
          <w:color w:val="000000"/>
          <w:sz w:val="22"/>
        </w:rPr>
        <w:t xml:space="preserve"> in ER-</w:t>
      </w:r>
      <w:proofErr w:type="spellStart"/>
      <w:r>
        <w:rPr>
          <w:rFonts w:ascii="Calibri" w:eastAsia="Calibri" w:hAnsi="Calibri" w:cs="Calibri"/>
          <w:color w:val="000000"/>
          <w:sz w:val="22"/>
        </w:rPr>
        <w:t>positiv</w:t>
      </w:r>
      <w:proofErr w:type="spellEnd"/>
      <w:r w:rsidR="001A5DBF">
        <w:rPr>
          <w:rFonts w:ascii="Calibri" w:eastAsia="Calibri" w:hAnsi="Calibri" w:cs="Calibri"/>
          <w:color w:val="000000"/>
          <w:sz w:val="22"/>
        </w:rPr>
        <w:t>/</w:t>
      </w:r>
      <w:r>
        <w:rPr>
          <w:rFonts w:ascii="Calibri" w:eastAsia="Calibri" w:hAnsi="Calibri" w:cs="Calibri"/>
          <w:color w:val="000000"/>
          <w:sz w:val="22"/>
        </w:rPr>
        <w:t>HER2-negative localized breast cancer. Looking forward to it, and inviting our listeners to join us next time.</w:t>
      </w:r>
    </w:p>
    <w:p w14:paraId="73CE8B91" w14:textId="77777777" w:rsidR="00A77B3E" w:rsidRDefault="00A77B3E" w:rsidP="00232B4A">
      <w:pPr>
        <w:spacing w:before="240" w:beforeAutospacing="1"/>
        <w:ind w:left="2520" w:hanging="2520"/>
        <w:rPr>
          <w:rFonts w:ascii="Calibri" w:eastAsia="Calibri" w:hAnsi="Calibri" w:cs="Calibri"/>
          <w:color w:val="000000"/>
          <w:sz w:val="22"/>
        </w:rPr>
      </w:pPr>
    </w:p>
    <w:sectPr w:rsidR="00A77B3E" w:rsidSect="00232B4A">
      <w:headerReference w:type="default" r:id="rId6"/>
      <w:footerReference w:type="default" r:id="rId7"/>
      <w:pgSz w:w="12240" w:h="15840"/>
      <w:pgMar w:top="1440" w:right="990" w:bottom="1440" w:left="81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52EB1" w14:textId="77777777" w:rsidR="00E05C11" w:rsidRDefault="00E05C11">
      <w:r>
        <w:separator/>
      </w:r>
    </w:p>
  </w:endnote>
  <w:endnote w:type="continuationSeparator" w:id="0">
    <w:p w14:paraId="1EE81E05" w14:textId="77777777" w:rsidR="00E05C11" w:rsidRDefault="00E05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8"/>
      <w:gridCol w:w="1892"/>
    </w:tblGrid>
    <w:tr w:rsidR="00F008DD" w:rsidRPr="00232B4A" w14:paraId="48A3E922" w14:textId="77777777">
      <w:tc>
        <w:tcPr>
          <w:tcW w:w="4000" w:type="pct"/>
          <w:tcBorders>
            <w:top w:val="nil"/>
            <w:left w:val="nil"/>
            <w:bottom w:val="nil"/>
            <w:right w:val="nil"/>
          </w:tcBorders>
          <w:noWrap/>
        </w:tcPr>
        <w:p w14:paraId="0E26C9EA" w14:textId="0742A318" w:rsidR="00F008DD" w:rsidRPr="00232B4A" w:rsidRDefault="00232B4A">
          <w:pPr>
            <w:rPr>
              <w:rFonts w:asciiTheme="minorHAnsi" w:hAnsiTheme="minorHAnsi" w:cstheme="minorHAnsi"/>
              <w:sz w:val="22"/>
              <w:szCs w:val="22"/>
            </w:rPr>
          </w:pPr>
          <w:r w:rsidRPr="00232B4A">
            <w:rPr>
              <w:rFonts w:asciiTheme="minorHAnsi" w:hAnsiTheme="minorHAnsi" w:cstheme="minorHAnsi"/>
              <w:sz w:val="22"/>
              <w:szCs w:val="22"/>
            </w:rPr>
            <w:t xml:space="preserve">Part </w:t>
          </w:r>
          <w:r>
            <w:rPr>
              <w:rFonts w:asciiTheme="minorHAnsi" w:hAnsiTheme="minorHAnsi" w:cstheme="minorHAnsi"/>
              <w:sz w:val="22"/>
              <w:szCs w:val="22"/>
            </w:rPr>
            <w:t>4:</w:t>
          </w:r>
          <w:r w:rsidRPr="00232B4A">
            <w:rPr>
              <w:rFonts w:asciiTheme="minorHAnsi" w:hAnsiTheme="minorHAnsi" w:cstheme="minorHAnsi"/>
              <w:sz w:val="22"/>
              <w:szCs w:val="22"/>
            </w:rPr>
            <w:t xml:space="preserve"> Emerging Data and Trends in HR-Positive/HER2-Negative Breast Cancer Podcast Series   </w:t>
          </w:r>
        </w:p>
      </w:tc>
      <w:tc>
        <w:tcPr>
          <w:tcW w:w="1000" w:type="pct"/>
          <w:tcBorders>
            <w:top w:val="nil"/>
            <w:left w:val="nil"/>
            <w:bottom w:val="nil"/>
            <w:right w:val="nil"/>
          </w:tcBorders>
          <w:noWrap/>
        </w:tcPr>
        <w:p w14:paraId="011CCAFC" w14:textId="77777777" w:rsidR="00F008DD" w:rsidRPr="00232B4A" w:rsidRDefault="0041172F">
          <w:pPr>
            <w:jc w:val="right"/>
            <w:rPr>
              <w:rFonts w:asciiTheme="minorHAnsi" w:hAnsiTheme="minorHAnsi" w:cstheme="minorHAnsi"/>
              <w:sz w:val="22"/>
              <w:szCs w:val="22"/>
            </w:rPr>
          </w:pPr>
          <w:r w:rsidRPr="00232B4A">
            <w:rPr>
              <w:rFonts w:asciiTheme="minorHAnsi" w:hAnsiTheme="minorHAnsi" w:cstheme="minorHAnsi"/>
              <w:sz w:val="22"/>
              <w:szCs w:val="22"/>
            </w:rPr>
            <w:t xml:space="preserve">Page </w:t>
          </w:r>
          <w:r w:rsidRPr="00232B4A">
            <w:rPr>
              <w:rFonts w:asciiTheme="minorHAnsi" w:hAnsiTheme="minorHAnsi" w:cstheme="minorHAnsi"/>
              <w:sz w:val="22"/>
              <w:szCs w:val="22"/>
            </w:rPr>
            <w:fldChar w:fldCharType="begin"/>
          </w:r>
          <w:r w:rsidRPr="00232B4A">
            <w:rPr>
              <w:rFonts w:asciiTheme="minorHAnsi" w:hAnsiTheme="minorHAnsi" w:cstheme="minorHAnsi"/>
              <w:sz w:val="22"/>
              <w:szCs w:val="22"/>
            </w:rPr>
            <w:instrText>PAGE</w:instrText>
          </w:r>
          <w:r w:rsidRPr="00232B4A">
            <w:rPr>
              <w:rFonts w:asciiTheme="minorHAnsi" w:hAnsiTheme="minorHAnsi" w:cstheme="minorHAnsi"/>
              <w:sz w:val="22"/>
              <w:szCs w:val="22"/>
            </w:rPr>
            <w:fldChar w:fldCharType="separate"/>
          </w:r>
          <w:r w:rsidR="00232B4A" w:rsidRPr="00232B4A">
            <w:rPr>
              <w:rFonts w:asciiTheme="minorHAnsi" w:hAnsiTheme="minorHAnsi" w:cstheme="minorHAnsi"/>
              <w:noProof/>
              <w:sz w:val="22"/>
              <w:szCs w:val="22"/>
            </w:rPr>
            <w:t>1</w:t>
          </w:r>
          <w:r w:rsidRPr="00232B4A">
            <w:rPr>
              <w:rFonts w:asciiTheme="minorHAnsi" w:hAnsiTheme="minorHAnsi" w:cstheme="minorHAnsi"/>
              <w:sz w:val="22"/>
              <w:szCs w:val="22"/>
            </w:rPr>
            <w:fldChar w:fldCharType="end"/>
          </w:r>
          <w:r w:rsidRPr="00232B4A">
            <w:rPr>
              <w:rFonts w:asciiTheme="minorHAnsi" w:hAnsiTheme="minorHAnsi" w:cstheme="minorHAnsi"/>
              <w:sz w:val="22"/>
              <w:szCs w:val="22"/>
            </w:rPr>
            <w:t xml:space="preserve"> of </w:t>
          </w:r>
          <w:r w:rsidRPr="00232B4A">
            <w:rPr>
              <w:rFonts w:asciiTheme="minorHAnsi" w:hAnsiTheme="minorHAnsi" w:cstheme="minorHAnsi"/>
              <w:sz w:val="22"/>
              <w:szCs w:val="22"/>
            </w:rPr>
            <w:fldChar w:fldCharType="begin"/>
          </w:r>
          <w:r w:rsidRPr="00232B4A">
            <w:rPr>
              <w:rFonts w:asciiTheme="minorHAnsi" w:hAnsiTheme="minorHAnsi" w:cstheme="minorHAnsi"/>
              <w:sz w:val="22"/>
              <w:szCs w:val="22"/>
            </w:rPr>
            <w:instrText>NUMPAGES</w:instrText>
          </w:r>
          <w:r w:rsidRPr="00232B4A">
            <w:rPr>
              <w:rFonts w:asciiTheme="minorHAnsi" w:hAnsiTheme="minorHAnsi" w:cstheme="minorHAnsi"/>
              <w:sz w:val="22"/>
              <w:szCs w:val="22"/>
            </w:rPr>
            <w:fldChar w:fldCharType="separate"/>
          </w:r>
          <w:r w:rsidR="00232B4A" w:rsidRPr="00232B4A">
            <w:rPr>
              <w:rFonts w:asciiTheme="minorHAnsi" w:hAnsiTheme="minorHAnsi" w:cstheme="minorHAnsi"/>
              <w:noProof/>
              <w:sz w:val="22"/>
              <w:szCs w:val="22"/>
            </w:rPr>
            <w:t>2</w:t>
          </w:r>
          <w:r w:rsidRPr="00232B4A">
            <w:rPr>
              <w:rFonts w:asciiTheme="minorHAnsi" w:hAnsiTheme="minorHAnsi" w:cstheme="minorHAnsi"/>
              <w:sz w:val="22"/>
              <w:szCs w:val="22"/>
            </w:rPr>
            <w:fldChar w:fldCharType="end"/>
          </w:r>
        </w:p>
      </w:tc>
    </w:tr>
  </w:tbl>
  <w:p w14:paraId="5333910C" w14:textId="77777777" w:rsidR="00F008DD" w:rsidRPr="00232B4A" w:rsidRDefault="00F008DD">
    <w:pPr>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A8CA6" w14:textId="77777777" w:rsidR="00E05C11" w:rsidRDefault="00E05C11">
      <w:r>
        <w:separator/>
      </w:r>
    </w:p>
  </w:footnote>
  <w:footnote w:type="continuationSeparator" w:id="0">
    <w:p w14:paraId="3756333A" w14:textId="77777777" w:rsidR="00E05C11" w:rsidRDefault="00E05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04"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4"/>
    </w:tblGrid>
    <w:tr w:rsidR="00F008DD" w14:paraId="7A1EDA0C" w14:textId="77777777" w:rsidTr="00232B4A">
      <w:tc>
        <w:tcPr>
          <w:tcW w:w="5000" w:type="pct"/>
          <w:tcBorders>
            <w:top w:val="nil"/>
            <w:left w:val="nil"/>
            <w:bottom w:val="nil"/>
            <w:right w:val="nil"/>
          </w:tcBorders>
          <w:noWrap/>
        </w:tcPr>
        <w:p w14:paraId="3C35E1A9" w14:textId="77777777" w:rsidR="00F008DD" w:rsidRDefault="00F008DD" w:rsidP="00232B4A">
          <w:pPr>
            <w:rPr>
              <w:color w:val="000000"/>
            </w:rPr>
          </w:pPr>
        </w:p>
      </w:tc>
    </w:tr>
  </w:tbl>
  <w:p w14:paraId="0C9FED68" w14:textId="77777777" w:rsidR="00F008DD" w:rsidRDefault="00F008D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574B6"/>
    <w:rsid w:val="001A5DBF"/>
    <w:rsid w:val="00232B4A"/>
    <w:rsid w:val="002B49B0"/>
    <w:rsid w:val="00367F45"/>
    <w:rsid w:val="0041172F"/>
    <w:rsid w:val="00620B5A"/>
    <w:rsid w:val="007D5837"/>
    <w:rsid w:val="00A77B3E"/>
    <w:rsid w:val="00CA2A55"/>
    <w:rsid w:val="00E05C11"/>
    <w:rsid w:val="00F00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E6778"/>
  <w15:docId w15:val="{FC4336F7-FCD0-4E29-BEF6-BCCC5A026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32B4A"/>
    <w:pPr>
      <w:tabs>
        <w:tab w:val="center" w:pos="4680"/>
        <w:tab w:val="right" w:pos="9360"/>
      </w:tabs>
    </w:pPr>
  </w:style>
  <w:style w:type="character" w:customStyle="1" w:styleId="HeaderChar">
    <w:name w:val="Header Char"/>
    <w:basedOn w:val="DefaultParagraphFont"/>
    <w:link w:val="Header"/>
    <w:rsid w:val="00232B4A"/>
    <w:rPr>
      <w:sz w:val="24"/>
      <w:szCs w:val="24"/>
    </w:rPr>
  </w:style>
  <w:style w:type="paragraph" w:styleId="Footer">
    <w:name w:val="footer"/>
    <w:basedOn w:val="Normal"/>
    <w:link w:val="FooterChar"/>
    <w:rsid w:val="00232B4A"/>
    <w:pPr>
      <w:tabs>
        <w:tab w:val="center" w:pos="4680"/>
        <w:tab w:val="right" w:pos="9360"/>
      </w:tabs>
    </w:pPr>
  </w:style>
  <w:style w:type="character" w:customStyle="1" w:styleId="FooterChar">
    <w:name w:val="Footer Char"/>
    <w:basedOn w:val="DefaultParagraphFont"/>
    <w:link w:val="Footer"/>
    <w:rsid w:val="00232B4A"/>
    <w:rPr>
      <w:sz w:val="24"/>
      <w:szCs w:val="24"/>
    </w:rPr>
  </w:style>
  <w:style w:type="paragraph" w:styleId="Revision">
    <w:name w:val="Revision"/>
    <w:hidden/>
    <w:uiPriority w:val="99"/>
    <w:semiHidden/>
    <w:rsid w:val="00620B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D3B99B593B03488EE4F17EC3915500" ma:contentTypeVersion="21" ma:contentTypeDescription="Create a new document." ma:contentTypeScope="" ma:versionID="4a43889dd6784bcc6f502aa52e1d4534">
  <xsd:schema xmlns:xsd="http://www.w3.org/2001/XMLSchema" xmlns:xs="http://www.w3.org/2001/XMLSchema" xmlns:p="http://schemas.microsoft.com/office/2006/metadata/properties" xmlns:ns2="73880f1c-9030-4fc3-ae91-9c598c094142" xmlns:ns3="6d1dde86-196c-4bcc-9560-feab4a4d52ca" targetNamespace="http://schemas.microsoft.com/office/2006/metadata/properties" ma:root="true" ma:fieldsID="ec022ef145e571d2da369c1f75f87958" ns2:_="" ns3:_="">
    <xsd:import namespace="73880f1c-9030-4fc3-ae91-9c598c094142"/>
    <xsd:import namespace="6d1dde86-196c-4bcc-9560-feab4a4d52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YES_x002f_NO" minOccurs="0"/>
                <xsd:element ref="ns2:MediaServiceSearchProperties" minOccurs="0"/>
                <xsd:element ref="ns2:DocumentDescription"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80f1c-9030-4fc3-ae91-9c598c094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482e0c1-59fc-4f79-b4ac-29e829bef9d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YES_x002f_NO" ma:index="24" nillable="true" ma:displayName="YES/NO" ma:default="1" ma:description="Formatted" ma:format="Dropdown" ma:internalName="YES_x002f_NO">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umentDescription" ma:index="26" nillable="true" ma:displayName="Document Description" ma:format="Dropdown" ma:internalName="DocumentDescription">
      <xsd:simpleType>
        <xsd:restriction base="dms:Text">
          <xsd:maxLength value="255"/>
        </xsd:restriction>
      </xsd:simpleType>
    </xsd:element>
    <xsd:element name="NOTES" ma:index="27" nillable="true" ma:displayName="NOTES" ma:format="Dropdown" ma:internalName="NOTE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dde86-196c-4bcc-9560-feab4a4d52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2a1ec13-31e6-415c-8ed0-cb8bb0eab1bf}" ma:internalName="TaxCatchAll" ma:showField="CatchAllData" ma:web="6d1dde86-196c-4bcc-9560-feab4a4d52c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S_x002f_NO xmlns="73880f1c-9030-4fc3-ae91-9c598c094142">true</YES_x002f_NO>
    <TaxCatchAll xmlns="6d1dde86-196c-4bcc-9560-feab4a4d52ca" xsi:nil="true"/>
    <DocumentDescription xmlns="73880f1c-9030-4fc3-ae91-9c598c094142" xsi:nil="true"/>
    <lcf76f155ced4ddcb4097134ff3c332f xmlns="73880f1c-9030-4fc3-ae91-9c598c094142">
      <Terms xmlns="http://schemas.microsoft.com/office/infopath/2007/PartnerControls"/>
    </lcf76f155ced4ddcb4097134ff3c332f>
    <NOTES xmlns="73880f1c-9030-4fc3-ae91-9c598c094142" xsi:nil="true"/>
  </documentManagement>
</p:properties>
</file>

<file path=customXml/itemProps1.xml><?xml version="1.0" encoding="utf-8"?>
<ds:datastoreItem xmlns:ds="http://schemas.openxmlformats.org/officeDocument/2006/customXml" ds:itemID="{EA88051D-FC6F-4068-B019-7F22A2278B47}"/>
</file>

<file path=customXml/itemProps2.xml><?xml version="1.0" encoding="utf-8"?>
<ds:datastoreItem xmlns:ds="http://schemas.openxmlformats.org/officeDocument/2006/customXml" ds:itemID="{B08DE182-7558-4B07-845D-3A599960FFC9}"/>
</file>

<file path=customXml/itemProps3.xml><?xml version="1.0" encoding="utf-8"?>
<ds:datastoreItem xmlns:ds="http://schemas.openxmlformats.org/officeDocument/2006/customXml" ds:itemID="{BBAA7713-5062-4C93-8FFA-7E5B6A2640E3}"/>
</file>

<file path=docProps/app.xml><?xml version="1.0" encoding="utf-8"?>
<Properties xmlns="http://schemas.openxmlformats.org/officeDocument/2006/extended-properties" xmlns:vt="http://schemas.openxmlformats.org/officeDocument/2006/docPropsVTypes">
  <Template>Normal</Template>
  <TotalTime>1</TotalTime>
  <Pages>4</Pages>
  <Words>2234</Words>
  <Characters>11307</Characters>
  <Application>Microsoft Office Word</Application>
  <DocSecurity>4</DocSecurity>
  <Lines>163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Kerbel</dc:creator>
  <cp:lastModifiedBy>Marilyn DeMilta</cp:lastModifiedBy>
  <cp:revision>2</cp:revision>
  <dcterms:created xsi:type="dcterms:W3CDTF">2026-02-04T18:35:00Z</dcterms:created>
  <dcterms:modified xsi:type="dcterms:W3CDTF">2026-02-04T18:35:00Z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0x010100B2D3B99B593B03488EE4F17EC3915500</vt:lpwstr>
  </property>
</Properties>
</file>