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8A4992" w14:textId="7FCC8292"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Podcast Moderator:</w:t>
      </w:r>
      <w:r>
        <w:rPr>
          <w:rFonts w:ascii="Calibri" w:eastAsia="Calibri" w:hAnsi="Calibri" w:cs="Calibri"/>
          <w:color w:val="000000"/>
          <w:sz w:val="22"/>
        </w:rPr>
        <w:tab/>
        <w:t xml:space="preserve">Welcome back to our series, </w:t>
      </w:r>
      <w:r w:rsidRPr="00732034">
        <w:rPr>
          <w:rFonts w:ascii="Calibri" w:eastAsia="Calibri" w:hAnsi="Calibri" w:cs="Calibri"/>
          <w:i/>
          <w:iCs/>
          <w:color w:val="000000"/>
          <w:sz w:val="22"/>
        </w:rPr>
        <w:t>Emerging Data and Trends in HR-Positive</w:t>
      </w:r>
      <w:r w:rsidR="00445DA0">
        <w:rPr>
          <w:rFonts w:ascii="Calibri" w:eastAsia="Calibri" w:hAnsi="Calibri" w:cs="Calibri"/>
          <w:i/>
          <w:iCs/>
          <w:color w:val="000000"/>
          <w:sz w:val="22"/>
        </w:rPr>
        <w:t>/</w:t>
      </w:r>
      <w:r w:rsidRPr="00732034">
        <w:rPr>
          <w:rFonts w:ascii="Calibri" w:eastAsia="Calibri" w:hAnsi="Calibri" w:cs="Calibri"/>
          <w:i/>
          <w:iCs/>
          <w:color w:val="000000"/>
          <w:sz w:val="22"/>
        </w:rPr>
        <w:t>HER2-Negative Breast Cancer</w:t>
      </w:r>
      <w:r>
        <w:rPr>
          <w:rFonts w:ascii="Calibri" w:eastAsia="Calibri" w:hAnsi="Calibri" w:cs="Calibri"/>
          <w:color w:val="000000"/>
          <w:sz w:val="22"/>
        </w:rPr>
        <w:t xml:space="preserve">. This is episode </w:t>
      </w:r>
      <w:r w:rsidR="00445DA0">
        <w:rPr>
          <w:rFonts w:ascii="Calibri" w:eastAsia="Calibri" w:hAnsi="Calibri" w:cs="Calibri"/>
          <w:color w:val="000000"/>
          <w:sz w:val="22"/>
        </w:rPr>
        <w:t>5</w:t>
      </w:r>
      <w:r>
        <w:rPr>
          <w:rFonts w:ascii="Calibri" w:eastAsia="Calibri" w:hAnsi="Calibri" w:cs="Calibri"/>
          <w:color w:val="000000"/>
          <w:sz w:val="22"/>
        </w:rPr>
        <w:t xml:space="preserve"> of a </w:t>
      </w:r>
      <w:r w:rsidR="00445DA0">
        <w:rPr>
          <w:rFonts w:ascii="Calibri" w:eastAsia="Calibri" w:hAnsi="Calibri" w:cs="Calibri"/>
          <w:color w:val="000000"/>
          <w:sz w:val="22"/>
        </w:rPr>
        <w:t>6</w:t>
      </w:r>
      <w:r>
        <w:rPr>
          <w:rFonts w:ascii="Calibri" w:eastAsia="Calibri" w:hAnsi="Calibri" w:cs="Calibri"/>
          <w:color w:val="000000"/>
          <w:sz w:val="22"/>
        </w:rPr>
        <w:t>-part series. Joining me once again are Dr. Seth Wander from the Massachusetts General Hospital in Boston and Dr. Neil Iyengar from the Winship Cancer Institute of Emory University. My guests, both medical oncologists, have been sharing their expertise in breast cancer research and patient care.</w:t>
      </w:r>
    </w:p>
    <w:p w14:paraId="6A3511A5" w14:textId="77777777"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It's great to be back with you both. Thank you so much for joining us again.</w:t>
      </w:r>
    </w:p>
    <w:p w14:paraId="10F2DC35" w14:textId="76CD9E98"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Neil Iyengar, MD:</w:t>
      </w:r>
      <w:r>
        <w:rPr>
          <w:rFonts w:ascii="Calibri" w:eastAsia="Calibri" w:hAnsi="Calibri" w:cs="Calibri"/>
          <w:color w:val="000000"/>
          <w:sz w:val="22"/>
        </w:rPr>
        <w:tab/>
        <w:t>Thank you for having us.</w:t>
      </w:r>
    </w:p>
    <w:p w14:paraId="4FF69AFF" w14:textId="3BAF5193"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Podcast Moderator:</w:t>
      </w:r>
      <w:r>
        <w:rPr>
          <w:rFonts w:ascii="Calibri" w:eastAsia="Calibri" w:hAnsi="Calibri" w:cs="Calibri"/>
          <w:color w:val="000000"/>
          <w:sz w:val="22"/>
        </w:rPr>
        <w:tab/>
        <w:t xml:space="preserve">Well, welcome to episode </w:t>
      </w:r>
      <w:r w:rsidR="00445DA0">
        <w:rPr>
          <w:rFonts w:ascii="Calibri" w:eastAsia="Calibri" w:hAnsi="Calibri" w:cs="Calibri"/>
          <w:color w:val="000000"/>
          <w:sz w:val="22"/>
        </w:rPr>
        <w:t>5</w:t>
      </w:r>
      <w:r>
        <w:rPr>
          <w:rFonts w:ascii="Calibri" w:eastAsia="Calibri" w:hAnsi="Calibri" w:cs="Calibri"/>
          <w:color w:val="000000"/>
          <w:sz w:val="22"/>
        </w:rPr>
        <w:t>. Today we're going to talk about the TACTIVE-N trial, which looks at neoadjuvant vepdegestrant, an ER-positive</w:t>
      </w:r>
      <w:r w:rsidR="00445DA0">
        <w:rPr>
          <w:rFonts w:ascii="Calibri" w:eastAsia="Calibri" w:hAnsi="Calibri" w:cs="Calibri"/>
          <w:color w:val="000000"/>
          <w:sz w:val="22"/>
        </w:rPr>
        <w:t>,</w:t>
      </w:r>
      <w:r>
        <w:rPr>
          <w:rFonts w:ascii="Calibri" w:eastAsia="Calibri" w:hAnsi="Calibri" w:cs="Calibri"/>
          <w:color w:val="000000"/>
          <w:sz w:val="22"/>
        </w:rPr>
        <w:t xml:space="preserve"> HER2-negative localized breast cancer. And if I understand correctly, this is a PROTAC agent where we've seen data in the metastatic setting. We're now moving into the perioperative setting.</w:t>
      </w:r>
    </w:p>
    <w:p w14:paraId="42A4F5E3" w14:textId="61B4FDAD"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Dr. Wander, it would be great if you could provide an overview of this agent for our audience and then take us through the trial. </w:t>
      </w:r>
    </w:p>
    <w:p w14:paraId="4D79E9B8" w14:textId="77777777"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Seth Wander, MD:</w:t>
      </w:r>
      <w:r>
        <w:rPr>
          <w:rFonts w:ascii="Calibri" w:eastAsia="Calibri" w:hAnsi="Calibri" w:cs="Calibri"/>
          <w:color w:val="000000"/>
          <w:sz w:val="22"/>
        </w:rPr>
        <w:tab/>
        <w:t>Great. Thank you. Again, a pleasure to be with everybody today, and thanks, Neil, for joining me on this.</w:t>
      </w:r>
    </w:p>
    <w:p w14:paraId="59081308" w14:textId="4FD940AE"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Let me start by talking a little bit about what drug we're looking at here. This is a really exciting molecule called vepdegestrant. This is the first PROTAC that we've looked at in breast cancer. PROTAC is a proteolysis</w:t>
      </w:r>
      <w:r w:rsidR="00445DA0">
        <w:rPr>
          <w:rFonts w:ascii="Calibri" w:eastAsia="Calibri" w:hAnsi="Calibri" w:cs="Calibri"/>
          <w:color w:val="000000"/>
          <w:sz w:val="22"/>
        </w:rPr>
        <w:t>-</w:t>
      </w:r>
      <w:r>
        <w:rPr>
          <w:rFonts w:ascii="Calibri" w:eastAsia="Calibri" w:hAnsi="Calibri" w:cs="Calibri"/>
          <w:color w:val="000000"/>
          <w:sz w:val="22"/>
        </w:rPr>
        <w:t>targeting chimera. This is a very interesting molecule that binds to its target, in this case the estrogen receptor, and it recruits the ubiquitin ligase machinery of the cancer cell. That ubiquitin ligase, when it comes close to the estrogen receptor, then puts a bunch of tags onto the estrogen receptor, which helps the cancer cell target the protein for destruction or degradation.</w:t>
      </w:r>
    </w:p>
    <w:p w14:paraId="25CEF5EC" w14:textId="14AFE359"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When you look at this molecule in laboratory models before it went into clinical development, you could see that this was a highly efficient degrader, that it was doing a better job of getting rid of the mutant protein in laboratory preclinical and translational models than many other drugs that we've seen in the past. And so this molecule moved into phase </w:t>
      </w:r>
      <w:r w:rsidR="00445DA0">
        <w:rPr>
          <w:rFonts w:ascii="Calibri" w:eastAsia="Calibri" w:hAnsi="Calibri" w:cs="Calibri"/>
          <w:color w:val="000000"/>
          <w:sz w:val="22"/>
        </w:rPr>
        <w:t xml:space="preserve">1 </w:t>
      </w:r>
      <w:r>
        <w:rPr>
          <w:rFonts w:ascii="Calibri" w:eastAsia="Calibri" w:hAnsi="Calibri" w:cs="Calibri"/>
          <w:color w:val="000000"/>
          <w:sz w:val="22"/>
        </w:rPr>
        <w:t xml:space="preserve">through </w:t>
      </w:r>
      <w:r w:rsidR="00445DA0">
        <w:rPr>
          <w:rFonts w:ascii="Calibri" w:eastAsia="Calibri" w:hAnsi="Calibri" w:cs="Calibri"/>
          <w:color w:val="000000"/>
          <w:sz w:val="22"/>
        </w:rPr>
        <w:t>3</w:t>
      </w:r>
      <w:r>
        <w:rPr>
          <w:rFonts w:ascii="Calibri" w:eastAsia="Calibri" w:hAnsi="Calibri" w:cs="Calibri"/>
          <w:color w:val="000000"/>
          <w:sz w:val="22"/>
        </w:rPr>
        <w:t xml:space="preserve"> clinical trials, the TACTIVE-N trial.</w:t>
      </w:r>
    </w:p>
    <w:p w14:paraId="0FBD1450" w14:textId="6DF8D733"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So this is an interesting phase </w:t>
      </w:r>
      <w:r w:rsidR="00445DA0">
        <w:rPr>
          <w:rFonts w:ascii="Calibri" w:eastAsia="Calibri" w:hAnsi="Calibri" w:cs="Calibri"/>
          <w:color w:val="000000"/>
          <w:sz w:val="22"/>
        </w:rPr>
        <w:t>2</w:t>
      </w:r>
      <w:r w:rsidR="00DF3780">
        <w:rPr>
          <w:rFonts w:ascii="Calibri" w:eastAsia="Calibri" w:hAnsi="Calibri" w:cs="Calibri"/>
          <w:color w:val="000000"/>
          <w:sz w:val="22"/>
        </w:rPr>
        <w:t>,</w:t>
      </w:r>
      <w:r>
        <w:rPr>
          <w:rFonts w:ascii="Calibri" w:eastAsia="Calibri" w:hAnsi="Calibri" w:cs="Calibri"/>
          <w:color w:val="000000"/>
          <w:sz w:val="22"/>
        </w:rPr>
        <w:t xml:space="preserve"> open</w:t>
      </w:r>
      <w:r w:rsidR="00445DA0">
        <w:rPr>
          <w:rFonts w:ascii="Calibri" w:eastAsia="Calibri" w:hAnsi="Calibri" w:cs="Calibri"/>
          <w:color w:val="000000"/>
          <w:sz w:val="22"/>
        </w:rPr>
        <w:t>-</w:t>
      </w:r>
      <w:r>
        <w:rPr>
          <w:rFonts w:ascii="Calibri" w:eastAsia="Calibri" w:hAnsi="Calibri" w:cs="Calibri"/>
          <w:color w:val="000000"/>
          <w:sz w:val="22"/>
        </w:rPr>
        <w:t>label, non-comparative study looking at the activity of vepdegestrant in comparison with the aromatase inhibitor, anastrozole as neoadjuvant therapy for postmenopausal patients with ER-positive</w:t>
      </w:r>
      <w:r w:rsidR="00445DA0">
        <w:rPr>
          <w:rFonts w:ascii="Calibri" w:eastAsia="Calibri" w:hAnsi="Calibri" w:cs="Calibri"/>
          <w:color w:val="000000"/>
          <w:sz w:val="22"/>
        </w:rPr>
        <w:t>,</w:t>
      </w:r>
      <w:r>
        <w:rPr>
          <w:rFonts w:ascii="Calibri" w:eastAsia="Calibri" w:hAnsi="Calibri" w:cs="Calibri"/>
          <w:color w:val="000000"/>
          <w:sz w:val="22"/>
        </w:rPr>
        <w:t xml:space="preserve"> HER2-negative breast cancer that's amenable to surgical resection. They were randomized </w:t>
      </w:r>
      <w:r w:rsidR="00445DA0">
        <w:rPr>
          <w:rFonts w:ascii="Calibri" w:eastAsia="Calibri" w:hAnsi="Calibri" w:cs="Calibri"/>
          <w:color w:val="000000"/>
          <w:sz w:val="22"/>
        </w:rPr>
        <w:t xml:space="preserve">2 </w:t>
      </w:r>
      <w:r>
        <w:rPr>
          <w:rFonts w:ascii="Calibri" w:eastAsia="Calibri" w:hAnsi="Calibri" w:cs="Calibri"/>
          <w:color w:val="000000"/>
          <w:sz w:val="22"/>
        </w:rPr>
        <w:t xml:space="preserve">to </w:t>
      </w:r>
      <w:r w:rsidR="00445DA0">
        <w:rPr>
          <w:rFonts w:ascii="Calibri" w:eastAsia="Calibri" w:hAnsi="Calibri" w:cs="Calibri"/>
          <w:color w:val="000000"/>
          <w:sz w:val="22"/>
        </w:rPr>
        <w:t xml:space="preserve">1 </w:t>
      </w:r>
      <w:r>
        <w:rPr>
          <w:rFonts w:ascii="Calibri" w:eastAsia="Calibri" w:hAnsi="Calibri" w:cs="Calibri"/>
          <w:color w:val="000000"/>
          <w:sz w:val="22"/>
        </w:rPr>
        <w:t xml:space="preserve">to receive the PROTAC vepdegestrant or anastrozole for </w:t>
      </w:r>
      <w:r w:rsidR="00445DA0">
        <w:rPr>
          <w:rFonts w:ascii="Calibri" w:eastAsia="Calibri" w:hAnsi="Calibri" w:cs="Calibri"/>
          <w:color w:val="000000"/>
          <w:sz w:val="22"/>
        </w:rPr>
        <w:t xml:space="preserve">5 </w:t>
      </w:r>
      <w:r>
        <w:rPr>
          <w:rFonts w:ascii="Calibri" w:eastAsia="Calibri" w:hAnsi="Calibri" w:cs="Calibri"/>
          <w:color w:val="000000"/>
          <w:sz w:val="22"/>
        </w:rPr>
        <w:t xml:space="preserve">to </w:t>
      </w:r>
      <w:r w:rsidR="00445DA0">
        <w:rPr>
          <w:rFonts w:ascii="Calibri" w:eastAsia="Calibri" w:hAnsi="Calibri" w:cs="Calibri"/>
          <w:color w:val="000000"/>
          <w:sz w:val="22"/>
        </w:rPr>
        <w:t xml:space="preserve">6 </w:t>
      </w:r>
      <w:r>
        <w:rPr>
          <w:rFonts w:ascii="Calibri" w:eastAsia="Calibri" w:hAnsi="Calibri" w:cs="Calibri"/>
          <w:color w:val="000000"/>
          <w:sz w:val="22"/>
        </w:rPr>
        <w:t xml:space="preserve">months before surgical resection. This preoperative study included tumor tissue samples at screening, week </w:t>
      </w:r>
      <w:r w:rsidR="00445DA0">
        <w:rPr>
          <w:rFonts w:ascii="Calibri" w:eastAsia="Calibri" w:hAnsi="Calibri" w:cs="Calibri"/>
          <w:color w:val="000000"/>
          <w:sz w:val="22"/>
        </w:rPr>
        <w:t>2</w:t>
      </w:r>
      <w:r>
        <w:rPr>
          <w:rFonts w:ascii="Calibri" w:eastAsia="Calibri" w:hAnsi="Calibri" w:cs="Calibri"/>
          <w:color w:val="000000"/>
          <w:sz w:val="22"/>
        </w:rPr>
        <w:t xml:space="preserve">, which is day 15 of cycle </w:t>
      </w:r>
      <w:r w:rsidR="00445DA0">
        <w:rPr>
          <w:rFonts w:ascii="Calibri" w:eastAsia="Calibri" w:hAnsi="Calibri" w:cs="Calibri"/>
          <w:color w:val="000000"/>
          <w:sz w:val="22"/>
        </w:rPr>
        <w:t>1</w:t>
      </w:r>
      <w:r>
        <w:rPr>
          <w:rFonts w:ascii="Calibri" w:eastAsia="Calibri" w:hAnsi="Calibri" w:cs="Calibri"/>
          <w:color w:val="000000"/>
          <w:sz w:val="22"/>
        </w:rPr>
        <w:t xml:space="preserve">, and at surgery, which is in the midst of cycle </w:t>
      </w:r>
      <w:r w:rsidR="00445DA0">
        <w:rPr>
          <w:rFonts w:ascii="Calibri" w:eastAsia="Calibri" w:hAnsi="Calibri" w:cs="Calibri"/>
          <w:color w:val="000000"/>
          <w:sz w:val="22"/>
        </w:rPr>
        <w:t>6</w:t>
      </w:r>
      <w:r>
        <w:rPr>
          <w:rFonts w:ascii="Calibri" w:eastAsia="Calibri" w:hAnsi="Calibri" w:cs="Calibri"/>
          <w:color w:val="000000"/>
          <w:sz w:val="22"/>
        </w:rPr>
        <w:t xml:space="preserve">. The primary endpoint was </w:t>
      </w:r>
      <w:r>
        <w:rPr>
          <w:rFonts w:ascii="Calibri" w:eastAsia="Calibri" w:hAnsi="Calibri" w:cs="Calibri"/>
          <w:color w:val="000000"/>
          <w:sz w:val="22"/>
        </w:rPr>
        <w:lastRenderedPageBreak/>
        <w:t>actually the percent change from baseline in Ki-67, which is a measure of cell proliferation and division. So</w:t>
      </w:r>
      <w:r w:rsidR="00DF3780">
        <w:rPr>
          <w:rFonts w:ascii="Calibri" w:eastAsia="Calibri" w:hAnsi="Calibri" w:cs="Calibri"/>
          <w:color w:val="000000"/>
          <w:sz w:val="22"/>
        </w:rPr>
        <w:t>,</w:t>
      </w:r>
      <w:r>
        <w:rPr>
          <w:rFonts w:ascii="Calibri" w:eastAsia="Calibri" w:hAnsi="Calibri" w:cs="Calibri"/>
          <w:color w:val="000000"/>
          <w:sz w:val="22"/>
        </w:rPr>
        <w:t xml:space="preserve"> they were looking at the change, the primary endpoint in Ki-67 from baseline to cycle </w:t>
      </w:r>
      <w:r w:rsidR="00445DA0">
        <w:rPr>
          <w:rFonts w:ascii="Calibri" w:eastAsia="Calibri" w:hAnsi="Calibri" w:cs="Calibri"/>
          <w:color w:val="000000"/>
          <w:sz w:val="22"/>
        </w:rPr>
        <w:t>1</w:t>
      </w:r>
      <w:r>
        <w:rPr>
          <w:rFonts w:ascii="Calibri" w:eastAsia="Calibri" w:hAnsi="Calibri" w:cs="Calibri"/>
          <w:color w:val="000000"/>
          <w:sz w:val="22"/>
        </w:rPr>
        <w:t xml:space="preserve"> day 15, </w:t>
      </w:r>
      <w:r w:rsidR="00445DA0">
        <w:rPr>
          <w:rFonts w:ascii="Calibri" w:eastAsia="Calibri" w:hAnsi="Calibri" w:cs="Calibri"/>
          <w:color w:val="000000"/>
          <w:sz w:val="22"/>
        </w:rPr>
        <w:t>2</w:t>
      </w:r>
      <w:r>
        <w:rPr>
          <w:rFonts w:ascii="Calibri" w:eastAsia="Calibri" w:hAnsi="Calibri" w:cs="Calibri"/>
          <w:color w:val="000000"/>
          <w:sz w:val="22"/>
        </w:rPr>
        <w:t xml:space="preserve"> weeks later. There were a number of interesting secondary endpoints, including pathologic complete response rate, breast-conserving surgical rates, radiographic response, and safety. There were also exploratory endpoints looking at assessments of estrogen and progesterone receptor levels within the cancer cells based on immunohistochemical staining.</w:t>
      </w:r>
    </w:p>
    <w:p w14:paraId="63C0EFAB" w14:textId="7553B1C5"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So</w:t>
      </w:r>
      <w:r w:rsidR="00DF3780">
        <w:rPr>
          <w:rFonts w:ascii="Calibri" w:eastAsia="Calibri" w:hAnsi="Calibri" w:cs="Calibri"/>
          <w:color w:val="000000"/>
          <w:sz w:val="22"/>
        </w:rPr>
        <w:t>,</w:t>
      </w:r>
      <w:r>
        <w:rPr>
          <w:rFonts w:ascii="Calibri" w:eastAsia="Calibri" w:hAnsi="Calibri" w:cs="Calibri"/>
          <w:color w:val="000000"/>
          <w:sz w:val="22"/>
        </w:rPr>
        <w:t xml:space="preserve"> at the time they presented this data, there were over 150 patients randomized, over 100 of which received vepdegestrant and 50 of which received anastrozole. The median age was around 66, and two</w:t>
      </w:r>
      <w:r w:rsidR="00445DA0">
        <w:rPr>
          <w:rFonts w:ascii="Calibri" w:eastAsia="Calibri" w:hAnsi="Calibri" w:cs="Calibri"/>
          <w:color w:val="000000"/>
          <w:sz w:val="22"/>
        </w:rPr>
        <w:t>-</w:t>
      </w:r>
      <w:r>
        <w:rPr>
          <w:rFonts w:ascii="Calibri" w:eastAsia="Calibri" w:hAnsi="Calibri" w:cs="Calibri"/>
          <w:color w:val="000000"/>
          <w:sz w:val="22"/>
        </w:rPr>
        <w:t xml:space="preserve">thirds of patients in both cohorts had tumors measuring more than </w:t>
      </w:r>
      <w:r w:rsidR="00445DA0">
        <w:rPr>
          <w:rFonts w:ascii="Calibri" w:eastAsia="Calibri" w:hAnsi="Calibri" w:cs="Calibri"/>
          <w:color w:val="000000"/>
          <w:sz w:val="22"/>
        </w:rPr>
        <w:t xml:space="preserve">2 </w:t>
      </w:r>
      <w:r>
        <w:rPr>
          <w:rFonts w:ascii="Calibri" w:eastAsia="Calibri" w:hAnsi="Calibri" w:cs="Calibri"/>
          <w:color w:val="000000"/>
          <w:sz w:val="22"/>
        </w:rPr>
        <w:t>centimeters, and approximately 50% of these patients had baseline Ki-67 levels that were a little bit on the lower side, below 20%, not terribly surprising given that this is an ER-positive population amenable to surgical excision.</w:t>
      </w:r>
    </w:p>
    <w:p w14:paraId="7BB74C35" w14:textId="20884A24"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There was a significant change in Ki-67 across both groups. There was a geometric mean change from baseline of minus 71.4% in the patients who received vepdegestrant</w:t>
      </w:r>
      <w:r w:rsidR="00DF3780">
        <w:rPr>
          <w:rFonts w:ascii="Calibri" w:eastAsia="Calibri" w:hAnsi="Calibri" w:cs="Calibri"/>
          <w:color w:val="000000"/>
          <w:sz w:val="22"/>
        </w:rPr>
        <w:t>,</w:t>
      </w:r>
      <w:r>
        <w:rPr>
          <w:rFonts w:ascii="Calibri" w:eastAsia="Calibri" w:hAnsi="Calibri" w:cs="Calibri"/>
          <w:color w:val="000000"/>
          <w:sz w:val="22"/>
        </w:rPr>
        <w:t xml:space="preserve"> and a geometric mean change from baseline of 72.9% in the patients who received anastrozole when looking at the week </w:t>
      </w:r>
      <w:r w:rsidR="00445DA0">
        <w:rPr>
          <w:rFonts w:ascii="Calibri" w:eastAsia="Calibri" w:hAnsi="Calibri" w:cs="Calibri"/>
          <w:color w:val="000000"/>
          <w:sz w:val="22"/>
        </w:rPr>
        <w:t xml:space="preserve">2 </w:t>
      </w:r>
      <w:r>
        <w:rPr>
          <w:rFonts w:ascii="Calibri" w:eastAsia="Calibri" w:hAnsi="Calibri" w:cs="Calibri"/>
          <w:color w:val="000000"/>
          <w:sz w:val="22"/>
        </w:rPr>
        <w:t xml:space="preserve">data. When you looked at the time of surgery, again, they were similar, but a slightly different trend where there was a slightly higher number with the vepdegestrant. The change there was 84.5% reduction in the patients receiving the PROTAC and 82.8% in the patients receiving anastrozole. They saw reduction in median expression of ER protein in over 76% of patients at week </w:t>
      </w:r>
      <w:r w:rsidR="00445DA0">
        <w:rPr>
          <w:rFonts w:ascii="Calibri" w:eastAsia="Calibri" w:hAnsi="Calibri" w:cs="Calibri"/>
          <w:color w:val="000000"/>
          <w:sz w:val="22"/>
        </w:rPr>
        <w:t>2</w:t>
      </w:r>
      <w:r w:rsidR="00DF3780">
        <w:rPr>
          <w:rFonts w:ascii="Calibri" w:eastAsia="Calibri" w:hAnsi="Calibri" w:cs="Calibri"/>
          <w:color w:val="000000"/>
          <w:sz w:val="22"/>
        </w:rPr>
        <w:t>,</w:t>
      </w:r>
      <w:r w:rsidR="00445DA0">
        <w:rPr>
          <w:rFonts w:ascii="Calibri" w:eastAsia="Calibri" w:hAnsi="Calibri" w:cs="Calibri"/>
          <w:color w:val="000000"/>
          <w:sz w:val="22"/>
        </w:rPr>
        <w:t xml:space="preserve"> </w:t>
      </w:r>
      <w:r>
        <w:rPr>
          <w:rFonts w:ascii="Calibri" w:eastAsia="Calibri" w:hAnsi="Calibri" w:cs="Calibri"/>
          <w:color w:val="000000"/>
          <w:sz w:val="22"/>
        </w:rPr>
        <w:t xml:space="preserve">and over 94% of patients at surgery in the vepdegestrant group, confirming really nice downregulation of the estrogen receptor. And what's also really interesting is they saw reduction in progesterone receptor expression in vepdegestrant by 100% at week </w:t>
      </w:r>
      <w:r w:rsidR="00445DA0">
        <w:rPr>
          <w:rFonts w:ascii="Calibri" w:eastAsia="Calibri" w:hAnsi="Calibri" w:cs="Calibri"/>
          <w:color w:val="000000"/>
          <w:sz w:val="22"/>
        </w:rPr>
        <w:t xml:space="preserve">2 </w:t>
      </w:r>
      <w:r>
        <w:rPr>
          <w:rFonts w:ascii="Calibri" w:eastAsia="Calibri" w:hAnsi="Calibri" w:cs="Calibri"/>
          <w:color w:val="000000"/>
          <w:sz w:val="22"/>
        </w:rPr>
        <w:t>and at surgery.</w:t>
      </w:r>
    </w:p>
    <w:p w14:paraId="41F38C55" w14:textId="27910472"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Now, not terribly surprising in this population, we saw a very low rate of pathologic complete response, 1% with vepdegestrant, 0% with anastrozole. The breast-conserving surgical rate and radiographic response was 70% in the vepdegestrant group and 54% in the anastrozole group. So again, maybe slightly favoring the vepdegestrant here, even despite the fact that the mean change from baseline in Ki-67 was relatively similar between the groups and between 80 to 85% </w:t>
      </w:r>
      <w:r w:rsidR="00445DA0">
        <w:rPr>
          <w:rFonts w:ascii="Calibri" w:eastAsia="Calibri" w:hAnsi="Calibri" w:cs="Calibri"/>
          <w:color w:val="000000"/>
          <w:sz w:val="22"/>
        </w:rPr>
        <w:t xml:space="preserve">6 </w:t>
      </w:r>
      <w:r>
        <w:rPr>
          <w:rFonts w:ascii="Calibri" w:eastAsia="Calibri" w:hAnsi="Calibri" w:cs="Calibri"/>
          <w:color w:val="000000"/>
          <w:sz w:val="22"/>
        </w:rPr>
        <w:t>months at surgery.</w:t>
      </w:r>
    </w:p>
    <w:p w14:paraId="375B751E" w14:textId="77777777"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Treatment-related adverse events, there were very few treatment discontinuations in this cohort on each arm, and the most common treatment-related adverse events with the PROTAC included about 20 to 25% hot flashes, 19% asthenia, and 14% constipation.</w:t>
      </w:r>
    </w:p>
    <w:p w14:paraId="4AA8CA60" w14:textId="01645A31"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I think the future of this drug remains to be seen. In my opinion, these preoperative window studies are not so much going to dramatically impact care in the future, but they do tell us a lot about the biology of these drugs. It's my hope that this effort tells us a bit more about the biology and important </w:t>
      </w:r>
      <w:r>
        <w:rPr>
          <w:rFonts w:ascii="Calibri" w:eastAsia="Calibri" w:hAnsi="Calibri" w:cs="Calibri"/>
          <w:color w:val="000000"/>
          <w:sz w:val="22"/>
        </w:rPr>
        <w:lastRenderedPageBreak/>
        <w:t>biomarkers for future development of this agent, not just in the metastatic setting, but also in the early</w:t>
      </w:r>
      <w:r w:rsidR="00445DA0">
        <w:rPr>
          <w:rFonts w:ascii="Calibri" w:eastAsia="Calibri" w:hAnsi="Calibri" w:cs="Calibri"/>
          <w:color w:val="000000"/>
          <w:sz w:val="22"/>
        </w:rPr>
        <w:t>-</w:t>
      </w:r>
      <w:r>
        <w:rPr>
          <w:rFonts w:ascii="Calibri" w:eastAsia="Calibri" w:hAnsi="Calibri" w:cs="Calibri"/>
          <w:color w:val="000000"/>
          <w:sz w:val="22"/>
        </w:rPr>
        <w:t>stage setting, both preoperatively and postoperatively, where I think it's more likely to play a role looking at other data, for example, from the oral SERDs.</w:t>
      </w:r>
    </w:p>
    <w:p w14:paraId="4868B3D8" w14:textId="00FF9B94"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r>
      <w:r w:rsidR="00DF3780">
        <w:rPr>
          <w:rFonts w:ascii="Calibri" w:eastAsia="Calibri" w:hAnsi="Calibri" w:cs="Calibri"/>
          <w:color w:val="000000"/>
          <w:sz w:val="22"/>
        </w:rPr>
        <w:t xml:space="preserve">So, </w:t>
      </w:r>
      <w:r>
        <w:rPr>
          <w:rFonts w:ascii="Calibri" w:eastAsia="Calibri" w:hAnsi="Calibri" w:cs="Calibri"/>
          <w:color w:val="000000"/>
          <w:sz w:val="22"/>
        </w:rPr>
        <w:t>Neil, I'm curious, what are your thoughts about not just vepdegestrant in general in terms of this study, but how we use these preoperative anti</w:t>
      </w:r>
      <w:r w:rsidR="00250BCD">
        <w:rPr>
          <w:rFonts w:ascii="Calibri" w:eastAsia="Calibri" w:hAnsi="Calibri" w:cs="Calibri"/>
          <w:color w:val="000000"/>
          <w:sz w:val="22"/>
        </w:rPr>
        <w:t>-</w:t>
      </w:r>
      <w:r>
        <w:rPr>
          <w:rFonts w:ascii="Calibri" w:eastAsia="Calibri" w:hAnsi="Calibri" w:cs="Calibri"/>
          <w:color w:val="000000"/>
          <w:sz w:val="22"/>
        </w:rPr>
        <w:t>estrogen studies to inform clinical development of these drugs and our understanding about the biological processes related to tumor growth?</w:t>
      </w:r>
    </w:p>
    <w:p w14:paraId="73C83FAE" w14:textId="01E4B5F0"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Neil Iyengar, MD:</w:t>
      </w:r>
      <w:r>
        <w:rPr>
          <w:rFonts w:ascii="Calibri" w:eastAsia="Calibri" w:hAnsi="Calibri" w:cs="Calibri"/>
          <w:color w:val="000000"/>
          <w:sz w:val="22"/>
        </w:rPr>
        <w:tab/>
        <w:t>Thanks, Seth. That was a really great discussion, both in regards to the mechanism of vepdegestrant, as well as some of the important clinical trial data you mentioned in the metastatic setting, as well as in the neoadjuvant setting now with the TACTIVE-N trial.</w:t>
      </w:r>
    </w:p>
    <w:p w14:paraId="643FEAB9" w14:textId="77777777"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I want to comment about the mechanism because I think you did a really nice job laying out the unique mechanism of vepdegestrant. And I think in this current landscape of novel antiestrogen therapies, we are certainly very interested in agents that have unique or distinct mechanisms, particularly from a sequencing standpoint. Historically, we've really relied on the molecular therapy partner to introduce a new mechanism for disease control, and now we're fortunate to have multiple agents in the pipeline with distinct antiestrogen mechanisms that are potentially attractive for sequencing in the metastatic setting.</w:t>
      </w:r>
    </w:p>
    <w:p w14:paraId="031CA66F" w14:textId="77777777"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What I think is particularly unique about vepdegestrant, as you mentioned, is it's degrader activity and the ability to work with intrinsic pathways within the body to degrade that estrogen receptor. What's also interesting is the iterative process whereby that degradation can happen multiple times. So I think that the pharmacokinetics of vepdegestrant are really interesting. Is it an issue where it's truly the ESR1 mutation that's differentiating the activity when compared to standard endocrine therapy, or does it have more so to do with the patient population and prior treatments that were received? So this is where I think the TACTIVE-N trial is really interesting. I think some of the differences in ER degradation or ER expression are really interesting, but what's particularly important here is the tolerability.</w:t>
      </w:r>
    </w:p>
    <w:p w14:paraId="7D29A106" w14:textId="77777777"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 xml:space="preserve">I would actually like to see non-inferiority designs compared to standard endocrine therapy. We know that standard endocrine therapy is associated with multiple issues, AIs cause musculoskeletal pain, among several other adverse effects, osteopenia, osteoporosis, and can be really difficult for our patients to tolerate. So what's particularly motivating for me is the nature of the tolerance for vepdegestrant, a quality of life standpoint. This is likely to be a better agent than standard aromatase inhibition for our patients, and we'll need long-term follow-up data to understand what the effects are on bone density, on metabolic health. Since we're not completely shutting off the body's production of estrogen with a PROTAC approach, I would anticipate that the negative </w:t>
      </w:r>
      <w:r>
        <w:rPr>
          <w:rFonts w:ascii="Calibri" w:eastAsia="Calibri" w:hAnsi="Calibri" w:cs="Calibri"/>
          <w:color w:val="000000"/>
          <w:sz w:val="22"/>
        </w:rPr>
        <w:lastRenderedPageBreak/>
        <w:t>impact on metabolic health, long-term outcomes, as well as bone density and other overall survival issues, are less severe than aromatase inhibition.</w:t>
      </w:r>
    </w:p>
    <w:p w14:paraId="411365EF" w14:textId="1DB845E4"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So when I put all of this together, the unique mechanism, the tolerability, quality of life, and then the impact on general well</w:t>
      </w:r>
      <w:r w:rsidR="00445DA0">
        <w:rPr>
          <w:rFonts w:ascii="Calibri" w:eastAsia="Calibri" w:hAnsi="Calibri" w:cs="Calibri"/>
          <w:color w:val="000000"/>
          <w:sz w:val="22"/>
        </w:rPr>
        <w:t>-</w:t>
      </w:r>
      <w:r>
        <w:rPr>
          <w:rFonts w:ascii="Calibri" w:eastAsia="Calibri" w:hAnsi="Calibri" w:cs="Calibri"/>
          <w:color w:val="000000"/>
          <w:sz w:val="22"/>
        </w:rPr>
        <w:t>being and overall health, I am very excited by vepdegestrant, the PROTACs and the novel SERDs because I suspect as a whole, this is likely to be a better treatment approach for our patients. Now, the challenge is, how do we show this in the way that we're designing our clinical trials? And ultimately, of course, the overall survival endpoint will address this concern, but of course, this requires large studies, long-term follow-up.</w:t>
      </w:r>
    </w:p>
    <w:p w14:paraId="203A4AE2" w14:textId="162F16D6"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This is an issue we've struggled with commonly, particularly in the early</w:t>
      </w:r>
      <w:r w:rsidR="00445DA0">
        <w:rPr>
          <w:rFonts w:ascii="Calibri" w:eastAsia="Calibri" w:hAnsi="Calibri" w:cs="Calibri"/>
          <w:color w:val="000000"/>
          <w:sz w:val="22"/>
        </w:rPr>
        <w:t>-</w:t>
      </w:r>
      <w:r>
        <w:rPr>
          <w:rFonts w:ascii="Calibri" w:eastAsia="Calibri" w:hAnsi="Calibri" w:cs="Calibri"/>
          <w:color w:val="000000"/>
          <w:sz w:val="22"/>
        </w:rPr>
        <w:t>stage setting for hormone receptor</w:t>
      </w:r>
      <w:r w:rsidR="00445DA0">
        <w:rPr>
          <w:rFonts w:ascii="Calibri" w:eastAsia="Calibri" w:hAnsi="Calibri" w:cs="Calibri"/>
          <w:color w:val="000000"/>
          <w:sz w:val="22"/>
        </w:rPr>
        <w:t>-</w:t>
      </w:r>
      <w:r>
        <w:rPr>
          <w:rFonts w:ascii="Calibri" w:eastAsia="Calibri" w:hAnsi="Calibri" w:cs="Calibri"/>
          <w:color w:val="000000"/>
          <w:sz w:val="22"/>
        </w:rPr>
        <w:t>positive disease, which is</w:t>
      </w:r>
      <w:r w:rsidR="00F559FB">
        <w:rPr>
          <w:rFonts w:ascii="Calibri" w:eastAsia="Calibri" w:hAnsi="Calibri" w:cs="Calibri"/>
          <w:color w:val="000000"/>
          <w:sz w:val="22"/>
        </w:rPr>
        <w:t>,</w:t>
      </w:r>
      <w:r>
        <w:rPr>
          <w:rFonts w:ascii="Calibri" w:eastAsia="Calibri" w:hAnsi="Calibri" w:cs="Calibri"/>
          <w:color w:val="000000"/>
          <w:sz w:val="22"/>
        </w:rPr>
        <w:t xml:space="preserve"> what is the appropriate surrogate endpoint? And I think that the development of the novel SERDs and this PROTAC are now, for me, really highlighting the issues with some of our surrogate markers for long-term outcomes. When we use disease-specific markers and a traditional superiority design, we're really trying to isolate the effect of the novel therapeutic over the standard of care, which I think is important when we're talking about the metastatic setting and we're talking strictly about efficacy. But when you start to factor in all of these other considerations that I mentioned, I'm not so sure that the traditional designs are the most appropriate.</w:t>
      </w:r>
    </w:p>
    <w:p w14:paraId="77577765" w14:textId="77777777"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And so I say all of this to say ultimately that I agree with the points that you made. I think the data are very interesting. Certainly the PROTAC mechanism of vepdegestrant is very interesting, but I think paramount is the tolerability and the overall effects of the drug. So I'm really looking forward to continued development investigation in this area of novel endocrine therapeutics for breast cancer.</w:t>
      </w:r>
    </w:p>
    <w:p w14:paraId="718C5FD7" w14:textId="278BD74D"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Podcast Moderator:</w:t>
      </w:r>
      <w:r>
        <w:rPr>
          <w:rFonts w:ascii="Calibri" w:eastAsia="Calibri" w:hAnsi="Calibri" w:cs="Calibri"/>
          <w:color w:val="000000"/>
          <w:sz w:val="22"/>
        </w:rPr>
        <w:tab/>
        <w:t>Dr. Wander, any final thoughts, key takeaways, reflections you have based off of what we just heard from Dr. Iyengar?</w:t>
      </w:r>
    </w:p>
    <w:p w14:paraId="3145A894" w14:textId="77777777"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Seth Wander, MD:</w:t>
      </w:r>
      <w:r>
        <w:rPr>
          <w:rFonts w:ascii="Calibri" w:eastAsia="Calibri" w:hAnsi="Calibri" w:cs="Calibri"/>
          <w:color w:val="000000"/>
          <w:sz w:val="22"/>
        </w:rPr>
        <w:tab/>
        <w:t>Well, thanks, Neil, for your thoughts and for discussing this really important topic with us.</w:t>
      </w:r>
    </w:p>
    <w:p w14:paraId="5860F7C7" w14:textId="77777777"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tab/>
        <w:t>Again, in my opinion, I think these PROTAC drugs are extremely interesting. This is a totally different mechanism of how we target and degrade proteins, and the future of these drugs is not limited, for example, to the estrogen receptor. I think the TACTIVE-N study is a great example of how we can utilize tumor samples in the preoperative space to learn about the biology and activity of these drugs to help refine biomarker assessment and deployment and to help think about future opportunities to use this drug, both in early stage and in metastatic patients.</w:t>
      </w:r>
    </w:p>
    <w:p w14:paraId="1B0E681C" w14:textId="4777C209" w:rsidR="00A77B3E" w:rsidRDefault="002055DB">
      <w:pPr>
        <w:spacing w:before="240" w:beforeAutospacing="1"/>
        <w:ind w:left="2160" w:hanging="2160"/>
        <w:rPr>
          <w:rFonts w:ascii="Calibri" w:eastAsia="Calibri" w:hAnsi="Calibri" w:cs="Calibri"/>
          <w:color w:val="000000"/>
          <w:sz w:val="22"/>
        </w:rPr>
      </w:pPr>
      <w:r>
        <w:rPr>
          <w:rFonts w:ascii="Calibri" w:eastAsia="Calibri" w:hAnsi="Calibri" w:cs="Calibri"/>
          <w:color w:val="000000"/>
          <w:sz w:val="22"/>
        </w:rPr>
        <w:lastRenderedPageBreak/>
        <w:t>Podcast Moderator:</w:t>
      </w:r>
      <w:r>
        <w:rPr>
          <w:rFonts w:ascii="Calibri" w:eastAsia="Calibri" w:hAnsi="Calibri" w:cs="Calibri"/>
          <w:color w:val="000000"/>
          <w:sz w:val="22"/>
        </w:rPr>
        <w:tab/>
        <w:t xml:space="preserve">Thank you both for such an insightful discussion on this new and emerging PROTAC agent. </w:t>
      </w:r>
      <w:r w:rsidR="00445DA0">
        <w:rPr>
          <w:rFonts w:ascii="Calibri" w:eastAsia="Calibri" w:hAnsi="Calibri" w:cs="Calibri"/>
          <w:color w:val="000000"/>
          <w:sz w:val="22"/>
        </w:rPr>
        <w:t>I do</w:t>
      </w:r>
      <w:r>
        <w:rPr>
          <w:rFonts w:ascii="Calibri" w:eastAsia="Calibri" w:hAnsi="Calibri" w:cs="Calibri"/>
          <w:color w:val="000000"/>
          <w:sz w:val="22"/>
        </w:rPr>
        <w:t xml:space="preserve"> want to encourage our listeners to tune into the final episode of our series. And in that episode, we'll be diving into the latest results from the OptiTROP-Breast02 trial. We hope you'll join us.</w:t>
      </w:r>
    </w:p>
    <w:p w14:paraId="12BCB358" w14:textId="77777777" w:rsidR="00A77B3E" w:rsidRDefault="00A77B3E">
      <w:pPr>
        <w:spacing w:before="240" w:beforeAutospacing="1"/>
        <w:ind w:left="2160" w:hanging="2160"/>
        <w:rPr>
          <w:rFonts w:ascii="Calibri" w:eastAsia="Calibri" w:hAnsi="Calibri" w:cs="Calibri"/>
          <w:color w:val="000000"/>
          <w:sz w:val="22"/>
        </w:rPr>
      </w:pPr>
    </w:p>
    <w:sectPr w:rsidR="00A77B3E">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CC80B" w14:textId="77777777" w:rsidR="00283FD1" w:rsidRDefault="00283FD1">
      <w:r>
        <w:separator/>
      </w:r>
    </w:p>
  </w:endnote>
  <w:endnote w:type="continuationSeparator" w:id="0">
    <w:p w14:paraId="20B7B969" w14:textId="77777777" w:rsidR="00283FD1" w:rsidRDefault="00283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AD377" w14:textId="77777777" w:rsidR="00E5043D" w:rsidRDefault="00E504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50"/>
      <w:gridCol w:w="7486"/>
      <w:gridCol w:w="1873"/>
    </w:tblGrid>
    <w:tr w:rsidR="00DC3CB7" w14:paraId="736FD457" w14:textId="77777777" w:rsidTr="00DC3CB7">
      <w:trPr>
        <w:trHeight w:val="450"/>
      </w:trPr>
      <w:tc>
        <w:tcPr>
          <w:tcW w:w="2387" w:type="pct"/>
          <w:tcBorders>
            <w:top w:val="nil"/>
            <w:left w:val="nil"/>
            <w:bottom w:val="nil"/>
            <w:right w:val="nil"/>
          </w:tcBorders>
        </w:tcPr>
        <w:p w14:paraId="3EB61E33" w14:textId="04990390" w:rsidR="00DC3CB7" w:rsidRDefault="00DC3CB7" w:rsidP="00DC3CB7">
          <w:r w:rsidRPr="00232B4A">
            <w:rPr>
              <w:rFonts w:asciiTheme="minorHAnsi" w:hAnsiTheme="minorHAnsi" w:cstheme="minorHAnsi"/>
              <w:sz w:val="22"/>
              <w:szCs w:val="22"/>
            </w:rPr>
            <w:t xml:space="preserve">Part </w:t>
          </w:r>
          <w:r>
            <w:rPr>
              <w:rFonts w:asciiTheme="minorHAnsi" w:hAnsiTheme="minorHAnsi" w:cstheme="minorHAnsi"/>
              <w:sz w:val="22"/>
              <w:szCs w:val="22"/>
            </w:rPr>
            <w:t>5</w:t>
          </w:r>
          <w:r>
            <w:rPr>
              <w:rFonts w:asciiTheme="minorHAnsi" w:hAnsiTheme="minorHAnsi" w:cstheme="minorHAnsi"/>
              <w:sz w:val="22"/>
              <w:szCs w:val="22"/>
            </w:rPr>
            <w:t>:</w:t>
          </w:r>
          <w:r w:rsidRPr="00232B4A">
            <w:rPr>
              <w:rFonts w:asciiTheme="minorHAnsi" w:hAnsiTheme="minorHAnsi" w:cstheme="minorHAnsi"/>
              <w:sz w:val="22"/>
              <w:szCs w:val="22"/>
            </w:rPr>
            <w:t xml:space="preserve"> Emerging Data and Trends in HR-Positive/HER2-Negative Breast Cancer Podcast Series   </w:t>
          </w:r>
        </w:p>
      </w:tc>
      <w:tc>
        <w:tcPr>
          <w:tcW w:w="2090" w:type="pct"/>
          <w:tcBorders>
            <w:top w:val="nil"/>
            <w:left w:val="nil"/>
            <w:bottom w:val="nil"/>
            <w:right w:val="nil"/>
          </w:tcBorders>
          <w:noWrap/>
        </w:tcPr>
        <w:p w14:paraId="22B023BD" w14:textId="44B188D1" w:rsidR="00DC3CB7" w:rsidRDefault="007D493B" w:rsidP="00DC3CB7">
          <w:r w:rsidRPr="00232B4A">
            <w:rPr>
              <w:rFonts w:asciiTheme="minorHAnsi" w:hAnsiTheme="minorHAnsi" w:cstheme="minorHAnsi"/>
              <w:sz w:val="22"/>
              <w:szCs w:val="22"/>
            </w:rPr>
            <w:t xml:space="preserve">Page </w:t>
          </w:r>
          <w:r w:rsidRPr="00232B4A">
            <w:rPr>
              <w:rFonts w:asciiTheme="minorHAnsi" w:hAnsiTheme="minorHAnsi" w:cstheme="minorHAnsi"/>
              <w:sz w:val="22"/>
              <w:szCs w:val="22"/>
            </w:rPr>
            <w:fldChar w:fldCharType="begin"/>
          </w:r>
          <w:r w:rsidRPr="00232B4A">
            <w:rPr>
              <w:rFonts w:asciiTheme="minorHAnsi" w:hAnsiTheme="minorHAnsi" w:cstheme="minorHAnsi"/>
              <w:sz w:val="22"/>
              <w:szCs w:val="22"/>
            </w:rPr>
            <w:instrText>PAGE</w:instrText>
          </w:r>
          <w:r w:rsidRPr="00232B4A">
            <w:rPr>
              <w:rFonts w:asciiTheme="minorHAnsi" w:hAnsiTheme="minorHAnsi" w:cstheme="minorHAnsi"/>
              <w:sz w:val="22"/>
              <w:szCs w:val="22"/>
            </w:rPr>
            <w:fldChar w:fldCharType="separate"/>
          </w:r>
          <w:r>
            <w:rPr>
              <w:rFonts w:asciiTheme="minorHAnsi" w:hAnsiTheme="minorHAnsi" w:cstheme="minorHAnsi"/>
              <w:sz w:val="22"/>
              <w:szCs w:val="22"/>
            </w:rPr>
            <w:t>1</w:t>
          </w:r>
          <w:r w:rsidRPr="00232B4A">
            <w:rPr>
              <w:rFonts w:asciiTheme="minorHAnsi" w:hAnsiTheme="minorHAnsi" w:cstheme="minorHAnsi"/>
              <w:sz w:val="22"/>
              <w:szCs w:val="22"/>
            </w:rPr>
            <w:fldChar w:fldCharType="end"/>
          </w:r>
          <w:r w:rsidRPr="00232B4A">
            <w:rPr>
              <w:rFonts w:asciiTheme="minorHAnsi" w:hAnsiTheme="minorHAnsi" w:cstheme="minorHAnsi"/>
              <w:sz w:val="22"/>
              <w:szCs w:val="22"/>
            </w:rPr>
            <w:t xml:space="preserve"> of </w:t>
          </w:r>
          <w:r w:rsidRPr="00232B4A">
            <w:rPr>
              <w:rFonts w:asciiTheme="minorHAnsi" w:hAnsiTheme="minorHAnsi" w:cstheme="minorHAnsi"/>
              <w:sz w:val="22"/>
              <w:szCs w:val="22"/>
            </w:rPr>
            <w:fldChar w:fldCharType="begin"/>
          </w:r>
          <w:r w:rsidRPr="00232B4A">
            <w:rPr>
              <w:rFonts w:asciiTheme="minorHAnsi" w:hAnsiTheme="minorHAnsi" w:cstheme="minorHAnsi"/>
              <w:sz w:val="22"/>
              <w:szCs w:val="22"/>
            </w:rPr>
            <w:instrText>NUMPAGES</w:instrText>
          </w:r>
          <w:r w:rsidRPr="00232B4A">
            <w:rPr>
              <w:rFonts w:asciiTheme="minorHAnsi" w:hAnsiTheme="minorHAnsi" w:cstheme="minorHAnsi"/>
              <w:sz w:val="22"/>
              <w:szCs w:val="22"/>
            </w:rPr>
            <w:fldChar w:fldCharType="separate"/>
          </w:r>
          <w:r>
            <w:rPr>
              <w:rFonts w:asciiTheme="minorHAnsi" w:hAnsiTheme="minorHAnsi" w:cstheme="minorHAnsi"/>
              <w:sz w:val="22"/>
              <w:szCs w:val="22"/>
            </w:rPr>
            <w:t>4</w:t>
          </w:r>
          <w:r w:rsidRPr="00232B4A">
            <w:rPr>
              <w:rFonts w:asciiTheme="minorHAnsi" w:hAnsiTheme="minorHAnsi" w:cstheme="minorHAnsi"/>
              <w:sz w:val="22"/>
              <w:szCs w:val="22"/>
            </w:rPr>
            <w:fldChar w:fldCharType="end"/>
          </w:r>
        </w:p>
      </w:tc>
      <w:tc>
        <w:tcPr>
          <w:tcW w:w="523" w:type="pct"/>
          <w:tcBorders>
            <w:top w:val="nil"/>
            <w:left w:val="nil"/>
            <w:bottom w:val="nil"/>
            <w:right w:val="nil"/>
          </w:tcBorders>
          <w:noWrap/>
        </w:tcPr>
        <w:p w14:paraId="5A57C00F" w14:textId="77777777" w:rsidR="00DC3CB7" w:rsidRDefault="00DC3CB7" w:rsidP="00DC3CB7">
          <w:pPr>
            <w:jc w:val="right"/>
          </w:pPr>
          <w:r>
            <w:t xml:space="preserve">Page </w:t>
          </w:r>
          <w:r>
            <w:fldChar w:fldCharType="begin"/>
          </w:r>
          <w:r>
            <w:instrText>PAGE</w:instrText>
          </w:r>
          <w:r>
            <w:fldChar w:fldCharType="separate"/>
          </w:r>
          <w:r>
            <w:rPr>
              <w:noProof/>
            </w:rPr>
            <w:t>1</w:t>
          </w:r>
          <w:r>
            <w:fldChar w:fldCharType="end"/>
          </w:r>
          <w:r>
            <w:t xml:space="preserve"> of </w:t>
          </w:r>
          <w:r>
            <w:fldChar w:fldCharType="begin"/>
          </w:r>
          <w:r>
            <w:instrText>NUMPAGES</w:instrText>
          </w:r>
          <w:r>
            <w:fldChar w:fldCharType="separate"/>
          </w:r>
          <w:r>
            <w:rPr>
              <w:noProof/>
            </w:rPr>
            <w:t>2</w:t>
          </w:r>
          <w:r>
            <w:fldChar w:fldCharType="end"/>
          </w:r>
        </w:p>
      </w:tc>
    </w:tr>
  </w:tbl>
  <w:p w14:paraId="24320618" w14:textId="77777777" w:rsidR="00770520" w:rsidRDefault="0077052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9E240" w14:textId="77777777" w:rsidR="00E5043D" w:rsidRDefault="00E504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275EE" w14:textId="77777777" w:rsidR="00283FD1" w:rsidRDefault="00283FD1">
      <w:r>
        <w:separator/>
      </w:r>
    </w:p>
  </w:footnote>
  <w:footnote w:type="continuationSeparator" w:id="0">
    <w:p w14:paraId="7A1267C9" w14:textId="77777777" w:rsidR="00283FD1" w:rsidRDefault="00283F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5BF94" w14:textId="77777777" w:rsidR="00E5043D" w:rsidRDefault="00E504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0"/>
    </w:tblGrid>
    <w:tr w:rsidR="00770520" w14:paraId="4BD2D76F" w14:textId="77777777">
      <w:tc>
        <w:tcPr>
          <w:tcW w:w="5000" w:type="pct"/>
          <w:tcBorders>
            <w:top w:val="nil"/>
            <w:left w:val="nil"/>
            <w:bottom w:val="nil"/>
            <w:right w:val="nil"/>
          </w:tcBorders>
          <w:noWrap/>
        </w:tcPr>
        <w:p w14:paraId="7658E840" w14:textId="77777777" w:rsidR="00770520" w:rsidRDefault="00770520" w:rsidP="00E5043D">
          <w:pPr>
            <w:rPr>
              <w:color w:val="000000"/>
            </w:rPr>
          </w:pPr>
        </w:p>
      </w:tc>
    </w:tr>
  </w:tbl>
  <w:p w14:paraId="729FA4A6" w14:textId="77777777" w:rsidR="00770520" w:rsidRDefault="00770520"/>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4A258" w14:textId="77777777" w:rsidR="00E5043D" w:rsidRDefault="00E504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673B"/>
    <w:rsid w:val="0006067F"/>
    <w:rsid w:val="000C69ED"/>
    <w:rsid w:val="002055DB"/>
    <w:rsid w:val="00250BCD"/>
    <w:rsid w:val="00262BB5"/>
    <w:rsid w:val="00283FD1"/>
    <w:rsid w:val="002B3E43"/>
    <w:rsid w:val="00367F45"/>
    <w:rsid w:val="003F4C07"/>
    <w:rsid w:val="00412CB5"/>
    <w:rsid w:val="00445DA0"/>
    <w:rsid w:val="00732034"/>
    <w:rsid w:val="00743888"/>
    <w:rsid w:val="00757C85"/>
    <w:rsid w:val="00770520"/>
    <w:rsid w:val="007D493B"/>
    <w:rsid w:val="00844668"/>
    <w:rsid w:val="0088413A"/>
    <w:rsid w:val="009F7DE5"/>
    <w:rsid w:val="00A77B3E"/>
    <w:rsid w:val="00A85B2E"/>
    <w:rsid w:val="00B36C8B"/>
    <w:rsid w:val="00C26694"/>
    <w:rsid w:val="00CA2A55"/>
    <w:rsid w:val="00D70B6C"/>
    <w:rsid w:val="00D92455"/>
    <w:rsid w:val="00DC3CB7"/>
    <w:rsid w:val="00DF3780"/>
    <w:rsid w:val="00E5043D"/>
    <w:rsid w:val="00F559FB"/>
    <w:rsid w:val="00FC5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6936B0"/>
  <w15:docId w15:val="{75A90C01-F79E-4FAC-8648-69D54DA64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445DA0"/>
    <w:rPr>
      <w:sz w:val="24"/>
      <w:szCs w:val="24"/>
    </w:rPr>
  </w:style>
  <w:style w:type="character" w:styleId="CommentReference">
    <w:name w:val="annotation reference"/>
    <w:basedOn w:val="DefaultParagraphFont"/>
    <w:rsid w:val="00DF3780"/>
    <w:rPr>
      <w:sz w:val="16"/>
      <w:szCs w:val="16"/>
    </w:rPr>
  </w:style>
  <w:style w:type="paragraph" w:styleId="CommentText">
    <w:name w:val="annotation text"/>
    <w:basedOn w:val="Normal"/>
    <w:link w:val="CommentTextChar"/>
    <w:rsid w:val="00DF3780"/>
    <w:rPr>
      <w:sz w:val="20"/>
      <w:szCs w:val="20"/>
    </w:rPr>
  </w:style>
  <w:style w:type="character" w:customStyle="1" w:styleId="CommentTextChar">
    <w:name w:val="Comment Text Char"/>
    <w:basedOn w:val="DefaultParagraphFont"/>
    <w:link w:val="CommentText"/>
    <w:rsid w:val="00DF3780"/>
  </w:style>
  <w:style w:type="paragraph" w:styleId="CommentSubject">
    <w:name w:val="annotation subject"/>
    <w:basedOn w:val="CommentText"/>
    <w:next w:val="CommentText"/>
    <w:link w:val="CommentSubjectChar"/>
    <w:rsid w:val="00DF3780"/>
    <w:rPr>
      <w:b/>
      <w:bCs/>
    </w:rPr>
  </w:style>
  <w:style w:type="character" w:customStyle="1" w:styleId="CommentSubjectChar">
    <w:name w:val="Comment Subject Char"/>
    <w:basedOn w:val="CommentTextChar"/>
    <w:link w:val="CommentSubject"/>
    <w:rsid w:val="00DF3780"/>
    <w:rPr>
      <w:b/>
      <w:bCs/>
    </w:rPr>
  </w:style>
  <w:style w:type="paragraph" w:styleId="Header">
    <w:name w:val="header"/>
    <w:basedOn w:val="Normal"/>
    <w:link w:val="HeaderChar"/>
    <w:rsid w:val="00A85B2E"/>
    <w:pPr>
      <w:tabs>
        <w:tab w:val="center" w:pos="4680"/>
        <w:tab w:val="right" w:pos="9360"/>
      </w:tabs>
    </w:pPr>
  </w:style>
  <w:style w:type="character" w:customStyle="1" w:styleId="HeaderChar">
    <w:name w:val="Header Char"/>
    <w:basedOn w:val="DefaultParagraphFont"/>
    <w:link w:val="Header"/>
    <w:rsid w:val="00A85B2E"/>
    <w:rPr>
      <w:sz w:val="24"/>
      <w:szCs w:val="24"/>
    </w:rPr>
  </w:style>
  <w:style w:type="paragraph" w:styleId="Footer">
    <w:name w:val="footer"/>
    <w:basedOn w:val="Normal"/>
    <w:link w:val="FooterChar"/>
    <w:rsid w:val="00A85B2E"/>
    <w:pPr>
      <w:tabs>
        <w:tab w:val="center" w:pos="4680"/>
        <w:tab w:val="right" w:pos="9360"/>
      </w:tabs>
    </w:pPr>
  </w:style>
  <w:style w:type="character" w:customStyle="1" w:styleId="FooterChar">
    <w:name w:val="Footer Char"/>
    <w:basedOn w:val="DefaultParagraphFont"/>
    <w:link w:val="Footer"/>
    <w:rsid w:val="00A85B2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D3B99B593B03488EE4F17EC3915500" ma:contentTypeVersion="21" ma:contentTypeDescription="Create a new document." ma:contentTypeScope="" ma:versionID="4a43889dd6784bcc6f502aa52e1d4534">
  <xsd:schema xmlns:xsd="http://www.w3.org/2001/XMLSchema" xmlns:xs="http://www.w3.org/2001/XMLSchema" xmlns:p="http://schemas.microsoft.com/office/2006/metadata/properties" xmlns:ns2="73880f1c-9030-4fc3-ae91-9c598c094142" xmlns:ns3="6d1dde86-196c-4bcc-9560-feab4a4d52ca" targetNamespace="http://schemas.microsoft.com/office/2006/metadata/properties" ma:root="true" ma:fieldsID="ec022ef145e571d2da369c1f75f87958" ns2:_="" ns3:_="">
    <xsd:import namespace="73880f1c-9030-4fc3-ae91-9c598c094142"/>
    <xsd:import namespace="6d1dde86-196c-4bcc-9560-feab4a4d52c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ServiceObjectDetectorVersions" minOccurs="0"/>
                <xsd:element ref="ns2:YES_x002f_NO" minOccurs="0"/>
                <xsd:element ref="ns2:MediaServiceSearchProperties" minOccurs="0"/>
                <xsd:element ref="ns2:DocumentDescription"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880f1c-9030-4fc3-ae91-9c598c094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482e0c1-59fc-4f79-b4ac-29e829bef9d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YES_x002f_NO" ma:index="24" nillable="true" ma:displayName="YES/NO" ma:default="1" ma:description="Formatted" ma:format="Dropdown" ma:internalName="YES_x002f_NO">
      <xsd:simpleType>
        <xsd:restriction base="dms:Boolea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umentDescription" ma:index="26" nillable="true" ma:displayName="Document Description" ma:format="Dropdown" ma:internalName="DocumentDescription">
      <xsd:simpleType>
        <xsd:restriction base="dms:Text">
          <xsd:maxLength value="255"/>
        </xsd:restriction>
      </xsd:simpleType>
    </xsd:element>
    <xsd:element name="NOTES" ma:index="27" nillable="true" ma:displayName="NOTES" ma:format="Dropdown" ma:internalName="NOTES">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d1dde86-196c-4bcc-9560-feab4a4d52c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2a1ec13-31e6-415c-8ed0-cb8bb0eab1bf}" ma:internalName="TaxCatchAll" ma:showField="CatchAllData" ma:web="6d1dde86-196c-4bcc-9560-feab4a4d52c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S_x002f_NO xmlns="73880f1c-9030-4fc3-ae91-9c598c094142">true</YES_x002f_NO>
    <TaxCatchAll xmlns="6d1dde86-196c-4bcc-9560-feab4a4d52ca" xsi:nil="true"/>
    <DocumentDescription xmlns="73880f1c-9030-4fc3-ae91-9c598c094142" xsi:nil="true"/>
    <lcf76f155ced4ddcb4097134ff3c332f xmlns="73880f1c-9030-4fc3-ae91-9c598c094142">
      <Terms xmlns="http://schemas.microsoft.com/office/infopath/2007/PartnerControls"/>
    </lcf76f155ced4ddcb4097134ff3c332f>
    <NOTES xmlns="73880f1c-9030-4fc3-ae91-9c598c094142" xsi:nil="true"/>
  </documentManagement>
</p:properties>
</file>

<file path=customXml/itemProps1.xml><?xml version="1.0" encoding="utf-8"?>
<ds:datastoreItem xmlns:ds="http://schemas.openxmlformats.org/officeDocument/2006/customXml" ds:itemID="{E7BC189C-C6CD-4612-BE3D-C4968720BB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880f1c-9030-4fc3-ae91-9c598c094142"/>
    <ds:schemaRef ds:uri="6d1dde86-196c-4bcc-9560-feab4a4d5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076743-9759-44C5-B2A5-B037045C4980}">
  <ds:schemaRefs>
    <ds:schemaRef ds:uri="http://schemas.microsoft.com/sharepoint/v3/contenttype/forms"/>
  </ds:schemaRefs>
</ds:datastoreItem>
</file>

<file path=customXml/itemProps3.xml><?xml version="1.0" encoding="utf-8"?>
<ds:datastoreItem xmlns:ds="http://schemas.openxmlformats.org/officeDocument/2006/customXml" ds:itemID="{FE71114A-837E-4FA2-98FA-3B50D2320374}">
  <ds:schemaRefs>
    <ds:schemaRef ds:uri="http://schemas.microsoft.com/office/2006/metadata/properties"/>
    <ds:schemaRef ds:uri="http://schemas.microsoft.com/office/infopath/2007/PartnerControls"/>
    <ds:schemaRef ds:uri="73880f1c-9030-4fc3-ae91-9c598c094142"/>
    <ds:schemaRef ds:uri="6d1dde86-196c-4bcc-9560-feab4a4d52ca"/>
  </ds:schemaRefs>
</ds:datastoreItem>
</file>

<file path=docMetadata/LabelInfo.xml><?xml version="1.0" encoding="utf-8"?>
<clbl:labelList xmlns:clbl="http://schemas.microsoft.com/office/2020/mipLabelMetadata">
  <clbl:label id="{0fb6fdc3-eb1e-4f97-9eb8-a94b752b1d81}" enabled="0" method="" siteId="{0fb6fdc3-eb1e-4f97-9eb8-a94b752b1d81}" removed="1"/>
</clbl:labelList>
</file>

<file path=docProps/app.xml><?xml version="1.0" encoding="utf-8"?>
<Properties xmlns="http://schemas.openxmlformats.org/officeDocument/2006/extended-properties" xmlns:vt="http://schemas.openxmlformats.org/officeDocument/2006/docPropsVTypes">
  <Template>Normal</Template>
  <TotalTime>5</TotalTime>
  <Pages>5</Pages>
  <Words>1919</Words>
  <Characters>10016</Characters>
  <Application>Microsoft Office Word</Application>
  <DocSecurity>0</DocSecurity>
  <Lines>167</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Mandy Kerbel</dc:creator>
  <cp:lastModifiedBy>Marilyn DeMilta</cp:lastModifiedBy>
  <cp:revision>6</cp:revision>
  <dcterms:created xsi:type="dcterms:W3CDTF">2026-02-10T20:56:00Z</dcterms:created>
  <dcterms:modified xsi:type="dcterms:W3CDTF">2026-02-10T21:18:00Z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0x010100B2D3B99B593B03488EE4F17EC3915500</vt:lpwstr>
  </property>
  <property fmtid="{D5CDD505-2E9C-101B-9397-08002B2CF9AE}" pid="3" name="MediaServiceImageTags">
    <vt:lpwstr/>
  </property>
</Properties>
</file>