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9214A" w14:textId="77777777" w:rsidR="0030019F" w:rsidRPr="0030019F" w:rsidRDefault="0030019F" w:rsidP="0030019F">
      <w:r w:rsidRPr="0030019F">
        <w:t>Podcast Moderator:</w:t>
      </w:r>
    </w:p>
    <w:p w14:paraId="6BBEF3A4" w14:textId="77777777" w:rsidR="0030019F" w:rsidRPr="0030019F" w:rsidRDefault="0030019F" w:rsidP="0030019F">
      <w:r w:rsidRPr="0030019F">
        <w:t xml:space="preserve">Welcome to our series, </w:t>
      </w:r>
      <w:r w:rsidRPr="000277D9">
        <w:rPr>
          <w:i/>
          <w:iCs/>
        </w:rPr>
        <w:t>Emerging Data and Trends in HR-Positive HER2-Negative Breast Cancer</w:t>
      </w:r>
      <w:r w:rsidRPr="0030019F">
        <w:t>. This is episode 6 of a 6-part series. Today I'm pleased to have back Dr. Neil Iyengar, from the Winship Cancer Institute of Emory University and Dr. Seth Wander from the Massachusetts General Hospital in Boston. Both guests are medical oncologists specializing in breast cancer research and patient care.</w:t>
      </w:r>
    </w:p>
    <w:p w14:paraId="1795B9AA" w14:textId="77777777" w:rsidR="0030019F" w:rsidRPr="0030019F" w:rsidRDefault="0030019F" w:rsidP="0030019F">
      <w:pPr>
        <w:rPr>
          <w:lang w:val="de-DE"/>
        </w:rPr>
      </w:pPr>
      <w:r w:rsidRPr="0030019F">
        <w:rPr>
          <w:lang w:val="de-DE"/>
        </w:rPr>
        <w:t>Neil Iyengar, MD:</w:t>
      </w:r>
    </w:p>
    <w:p w14:paraId="66007590" w14:textId="77777777" w:rsidR="0030019F" w:rsidRPr="0030019F" w:rsidRDefault="0030019F" w:rsidP="0030019F">
      <w:r w:rsidRPr="0030019F">
        <w:rPr>
          <w:lang w:val="de-DE"/>
        </w:rPr>
        <w:t xml:space="preserve">Hi, I am Neil Iyengar. </w:t>
      </w:r>
      <w:r w:rsidRPr="0030019F">
        <w:t>I'm a breast medical oncologist and Co-Director of the Breast Medical Oncology program and Director of Cancer Survivorship Services at the Winship Cancer Institute of Emory University in Atlanta, Georgia.</w:t>
      </w:r>
    </w:p>
    <w:p w14:paraId="3AAB081A" w14:textId="77777777" w:rsidR="0030019F" w:rsidRPr="0030019F" w:rsidRDefault="0030019F" w:rsidP="0030019F">
      <w:r w:rsidRPr="0030019F">
        <w:t>Seth Wander, MD:</w:t>
      </w:r>
    </w:p>
    <w:p w14:paraId="4E62B1C6" w14:textId="77777777" w:rsidR="0030019F" w:rsidRPr="0030019F" w:rsidRDefault="0030019F" w:rsidP="0030019F">
      <w:r w:rsidRPr="0030019F">
        <w:t>My name is Seth Wander and I'm a breast medical oncologist at the Massachusetts General Hospital in Boston. I'm the Director of Precision Medicine and the Director of Translational Research in the Breast Oncology program. And it's a pleasure to join you today to discuss these important and interesting topics.</w:t>
      </w:r>
    </w:p>
    <w:p w14:paraId="3B4ADB16" w14:textId="77777777" w:rsidR="0030019F" w:rsidRPr="0030019F" w:rsidRDefault="0030019F" w:rsidP="0030019F">
      <w:r w:rsidRPr="0030019F">
        <w:t>Podcast Moderator:</w:t>
      </w:r>
    </w:p>
    <w:p w14:paraId="41C3B2E2" w14:textId="77777777" w:rsidR="0030019F" w:rsidRPr="0030019F" w:rsidRDefault="0030019F" w:rsidP="0030019F">
      <w:r w:rsidRPr="0030019F">
        <w:t>Well guys, it's our final episode. Thank you so much for coming back 1 more time. I've really enjoyed these conversations.</w:t>
      </w:r>
    </w:p>
    <w:p w14:paraId="0BB2646B" w14:textId="77777777" w:rsidR="0030019F" w:rsidRPr="0030019F" w:rsidRDefault="0030019F" w:rsidP="0030019F">
      <w:r w:rsidRPr="0030019F">
        <w:t>Neil Iyengar, MD:</w:t>
      </w:r>
    </w:p>
    <w:p w14:paraId="55C307F4" w14:textId="77777777" w:rsidR="0030019F" w:rsidRPr="0030019F" w:rsidRDefault="0030019F" w:rsidP="0030019F">
      <w:r w:rsidRPr="0030019F">
        <w:t>It's a pleasure to be here today and I'm delighted to have this discussion.</w:t>
      </w:r>
    </w:p>
    <w:p w14:paraId="3615067D" w14:textId="77777777" w:rsidR="0030019F" w:rsidRPr="0030019F" w:rsidRDefault="0030019F" w:rsidP="0030019F">
      <w:r w:rsidRPr="0030019F">
        <w:t>Podcast Moderator:</w:t>
      </w:r>
    </w:p>
    <w:p w14:paraId="5FA6C3FF" w14:textId="77777777" w:rsidR="0030019F" w:rsidRPr="0030019F" w:rsidRDefault="0030019F" w:rsidP="0030019F">
      <w:r w:rsidRPr="0030019F">
        <w:t>All right, final episode, and we are going to dive into the topic of antibody–drug conjugates within the space of breast cancer, and go through some recent findings from the OptiTROP-Breast02 trial. So Dr. Wander, could you begin by providing an overview of the trial sharing some of the key highlights? And then would love to hear your thoughts on where this fits in relation to the landscape of antibody–drug conjugates.</w:t>
      </w:r>
    </w:p>
    <w:p w14:paraId="1BB9FEA2" w14:textId="77777777" w:rsidR="0030019F" w:rsidRPr="0030019F" w:rsidRDefault="0030019F" w:rsidP="0030019F">
      <w:r w:rsidRPr="0030019F">
        <w:t>Seth Wander, MD:</w:t>
      </w:r>
    </w:p>
    <w:p w14:paraId="496A3D08" w14:textId="43CF7A40" w:rsidR="0030019F" w:rsidRPr="0030019F" w:rsidRDefault="0030019F" w:rsidP="0030019F">
      <w:r w:rsidRPr="0030019F">
        <w:t xml:space="preserve">Thanks for the opportunity. Let me start before we talk specifically about the OptiTROP-Breast02 trial by just zooming out for a moment. And speaking more broadly about antibody–drug conjugates, which have become an extremely important class of medications, not just for hormone receptor–positive, HER2-negative breast cancer, but now for all subtypes of breast cancer in both the metastatic and potentially early-stage </w:t>
      </w:r>
      <w:r w:rsidRPr="0030019F">
        <w:lastRenderedPageBreak/>
        <w:t>setting. Now, we began to use these agents earlier in HER2-positive disease. And now we've seen deployment of a variety of first- and second-generation ADCs in hormone receptor–positive, HER2-negative breast cancer.</w:t>
      </w:r>
    </w:p>
    <w:p w14:paraId="0BB42DE2" w14:textId="77777777" w:rsidR="0030019F" w:rsidRPr="0030019F" w:rsidRDefault="0030019F" w:rsidP="0030019F">
      <w:r w:rsidRPr="0030019F">
        <w:t>When we think about these drugs, remember ADCs really have 3 mechanistic components. There's an antibody which helps target the cancer cells. There's a payload which is in these cases, usually a cytotoxic chemotherapy agent, and then there's a chemical linker. And all of these can be modified, which can impact the amount of drug that is delivered both to the cancer cell itself as well as to surrounding cells.</w:t>
      </w:r>
    </w:p>
    <w:p w14:paraId="1A50DFA4" w14:textId="77777777" w:rsidR="0030019F" w:rsidRPr="0030019F" w:rsidRDefault="0030019F" w:rsidP="0030019F">
      <w:r w:rsidRPr="0030019F">
        <w:t>So here we're looking at sacituzumab tirumotecan, or Sac-TMT, which is a novel trop 2 directed antibody–drug conjugate that has a proprietary chemical linker to a belotecan derived topoisomerase 1 inhibitor payload. So, we have prior phase 1 2 data with this agent showing promising antitumor activity in this patient population, hormone receptor–positive, HER2-negative metastatic breast cancer.</w:t>
      </w:r>
    </w:p>
    <w:p w14:paraId="40CF9B0A" w14:textId="0991BB13" w:rsidR="0030019F" w:rsidRPr="0030019F" w:rsidRDefault="0030019F" w:rsidP="0030019F">
      <w:r w:rsidRPr="0030019F">
        <w:t xml:space="preserve">Here at ESMO 2025, we saw results from the randomized phase III </w:t>
      </w:r>
      <w:proofErr w:type="spellStart"/>
      <w:r w:rsidRPr="0030019F">
        <w:t>OptiTROP</w:t>
      </w:r>
      <w:proofErr w:type="spellEnd"/>
      <w:r w:rsidRPr="0030019F">
        <w:t>-Breast 02 study, which enrolled patients with HR-positive/HER2-negative breast cancer, who had progressed on prior CDK4/6 inhibitor therapy and</w:t>
      </w:r>
      <w:r>
        <w:t xml:space="preserve"> </w:t>
      </w:r>
      <w:r w:rsidRPr="0030019F">
        <w:t>had received 1 to 4 prior lines of chemotherapy in the advanced or metastatic setting. So, these are pretty heavily pretreated patients. They're endocrine refractory with at least 1 prior line of cytotoxic chemotherapy. And this is not terribly dissimilar to earlier data.</w:t>
      </w:r>
    </w:p>
    <w:p w14:paraId="777BB2E2" w14:textId="77777777" w:rsidR="0030019F" w:rsidRPr="0030019F" w:rsidRDefault="0030019F" w:rsidP="0030019F">
      <w:r w:rsidRPr="0030019F">
        <w:t>Now for this study for OptiTROP-Breast02, patients were randomized 1 to 1 to receive Sac-TMT given at 5 milligrams per kilogram every 2 weeks, or physician's choice of chemotherapy, either eribulin, vinorelbine, capecitabine, or gemcitabine. Importantly here, the comparator was not another ADC. Like the prior studies in the metastatic setting, the comparator here was conventional cytotoxic chemotherapy. The primary endpoint was progression-free survival with typical secondary endpoints including overall survival, objective response rate, disease control rate, duration of response.</w:t>
      </w:r>
    </w:p>
    <w:p w14:paraId="5F8A89A7" w14:textId="77777777" w:rsidR="0030019F" w:rsidRPr="0030019F" w:rsidRDefault="0030019F" w:rsidP="0030019F">
      <w:r w:rsidRPr="0030019F">
        <w:t>Here, they had just under 400 patients. The most commonly utilized chemotherapeutic agent was actually eribulin. Median age was about 54. And 54% of the Sac-TMT cohort had HER2-0 disease, over 96% had visceral metastatic disease, and more than half had received at least 2 prior lines of chemotherapy. That's in the intervention cohort. The numbers were similar in the control arm with investigators choice of chemotherapy. Again, 95% visceral disease, over 51% HER2-0, and 57% getting at least 2 prior lines of chemotherapy.</w:t>
      </w:r>
    </w:p>
    <w:p w14:paraId="60CFA7C1" w14:textId="77777777" w:rsidR="0030019F" w:rsidRPr="0030019F" w:rsidRDefault="0030019F" w:rsidP="0030019F">
      <w:r w:rsidRPr="0030019F">
        <w:t xml:space="preserve">Now, the median follow-up at the time of this analysis was about 7 and a half months. And we saw significant improvement in the median progression-free survival in the Sac-TMT </w:t>
      </w:r>
      <w:r w:rsidRPr="0030019F">
        <w:lastRenderedPageBreak/>
        <w:t xml:space="preserve">group versus chemo of investigators choice from 8.3 versus 4.1 months, which is a very impressive hazard ratio of 0.35 and a highly significant </w:t>
      </w:r>
      <w:r w:rsidRPr="000277D9">
        <w:rPr>
          <w:i/>
          <w:iCs/>
        </w:rPr>
        <w:t>P</w:t>
      </w:r>
      <w:r w:rsidRPr="0030019F">
        <w:t>-value. The 6-month PFS rate corresponded to this improved from 25.7% with chemotherapy up to almost 61.5% with Sac-TMT. And this was consistent across all predefined subgroups in this analysis. And this also interestingly occurred regardless of HER2 expression, whether the patients were HER2-0 or HER2 1 to 2 plus. There were also improvements in both disease control rate and overall response rate. In the Sac-TMT group, the disease control rate was 86% versus 68.3% with chemo, while the overall response rate was 41.5% versus 24.1% with chemotherapy.</w:t>
      </w:r>
    </w:p>
    <w:p w14:paraId="19637A05" w14:textId="77777777" w:rsidR="0030019F" w:rsidRPr="0030019F" w:rsidRDefault="0030019F" w:rsidP="0030019F">
      <w:r w:rsidRPr="0030019F">
        <w:t>Treatment-related adverse events did occur here, but I think globally the toxicity profile of this agent was manageable. There were decreases in neutrophil counts that occurred in both treatment arms greater than grade 3, 45% rate in the Sac-TMT group versus 52% with investigators choice chemotherapy. There was treatment discontinuation actually in 0% of patients on Sac-TMT group versus 0.5% in the chemotherapy group. So, very really nonexistent rates of discontinuation in both arms here. Grade 1 to 2 pneumonitis occurred at 1 to 2% in both treatment arms. Clinically, the side effect profile with every 2 week dosing here was quite manageable with cytopenias, particularly reduction in white blood cell counts and neutrophil counts as being most common.</w:t>
      </w:r>
    </w:p>
    <w:p w14:paraId="184CE2AB" w14:textId="77777777" w:rsidR="0030019F" w:rsidRPr="0030019F" w:rsidRDefault="0030019F" w:rsidP="0030019F">
      <w:r w:rsidRPr="0030019F">
        <w:t xml:space="preserve">I would just end by saying we have a lot to learn about which of the expanding arsenal of antibody–drug conjugates would be the best to deploy in any given particular clinical situation. So Neil, I'm curious, what are your thoughts about how Sac-TMT shapes up compared to our prior experience, for example, with </w:t>
      </w:r>
      <w:proofErr w:type="spellStart"/>
      <w:r w:rsidRPr="0030019F">
        <w:t>sacituzumab</w:t>
      </w:r>
      <w:proofErr w:type="spellEnd"/>
      <w:r w:rsidRPr="0030019F">
        <w:t xml:space="preserve"> or </w:t>
      </w:r>
      <w:proofErr w:type="spellStart"/>
      <w:r w:rsidRPr="0030019F">
        <w:t>dato</w:t>
      </w:r>
      <w:proofErr w:type="spellEnd"/>
      <w:r w:rsidRPr="0030019F">
        <w:t>? And what are your thoughts in clinical practice about sequencing ADCs, not just specific to Sac-TMT, but to the class of drugs more broadly?</w:t>
      </w:r>
    </w:p>
    <w:p w14:paraId="58A06D39" w14:textId="77777777" w:rsidR="0030019F" w:rsidRPr="0030019F" w:rsidRDefault="0030019F" w:rsidP="0030019F">
      <w:r w:rsidRPr="0030019F">
        <w:t>Neil Iyengar, MD:</w:t>
      </w:r>
    </w:p>
    <w:p w14:paraId="1D8AF8E7" w14:textId="77777777" w:rsidR="0030019F" w:rsidRPr="0030019F" w:rsidRDefault="0030019F" w:rsidP="0030019F">
      <w:r w:rsidRPr="0030019F">
        <w:t>Yeah, thanks, Seth. Again, that was such a nice deep dive into the trial design and the data that emerged for Sac-TMT. I think your general comments about antibody–drug conjugates are spot on. ADCs have really transformed the landscape by offering more efficacious therapy that is generally manageable in terms of the adverse effects. The adverse effect profiles of the various ADCs are all slightly different. The schedule of administration are also slightly different, and so it gives us the opportunity to have these discussions with our patients and engage in mutual decision-making with our patients so that we can select not only an efficacious agent, but an agent that's consistent with the patient's life, their wishes, and goals.</w:t>
      </w:r>
    </w:p>
    <w:p w14:paraId="578C5693" w14:textId="36C288DE" w:rsidR="0030019F" w:rsidRPr="0030019F" w:rsidRDefault="0030019F" w:rsidP="0030019F">
      <w:r w:rsidRPr="0030019F">
        <w:t xml:space="preserve">Now, I think Sac-TMT does look very promising in terms of the data that you just reviewed and it offers yet another potential treatment opportunity. But in this space of ADCs where </w:t>
      </w:r>
      <w:r w:rsidRPr="0030019F">
        <w:lastRenderedPageBreak/>
        <w:t>we do have TROP2 directed ADCs that are already approved with topo1 payloads, what I'd really like to see are continued and further development of novel ADCs that</w:t>
      </w:r>
      <w:r>
        <w:t xml:space="preserve"> </w:t>
      </w:r>
      <w:r w:rsidRPr="0030019F">
        <w:t>at least have a different payload or even a different antibody target. We are seeing some exciting new developments in that direction.</w:t>
      </w:r>
    </w:p>
    <w:p w14:paraId="3DE222D7" w14:textId="77777777" w:rsidR="0030019F" w:rsidRPr="0030019F" w:rsidRDefault="0030019F" w:rsidP="0030019F">
      <w:r w:rsidRPr="0030019F">
        <w:t>From a clinical practice standpoint, we know that there is individual variation in terms of how patients respond. I think while we're awaiting some of that larger sequencing data, Sac-TMT will offer essentially another treatment option that allows us to individualize our treatment plans for that patient who's sitting in front of us in clinic.</w:t>
      </w:r>
    </w:p>
    <w:p w14:paraId="275F58FD" w14:textId="77777777" w:rsidR="0030019F" w:rsidRPr="0030019F" w:rsidRDefault="0030019F" w:rsidP="0030019F">
      <w:r w:rsidRPr="0030019F">
        <w:t>Podcast Moderator:</w:t>
      </w:r>
    </w:p>
    <w:p w14:paraId="0FE5B54F" w14:textId="77777777" w:rsidR="0030019F" w:rsidRPr="0030019F" w:rsidRDefault="0030019F" w:rsidP="0030019F">
      <w:r w:rsidRPr="0030019F">
        <w:t>Dr. Wander, any closing thoughts?</w:t>
      </w:r>
    </w:p>
    <w:p w14:paraId="7A69518A" w14:textId="77777777" w:rsidR="0030019F" w:rsidRPr="0030019F" w:rsidRDefault="0030019F" w:rsidP="0030019F">
      <w:r w:rsidRPr="0030019F">
        <w:t>Seth Wander, MD:</w:t>
      </w:r>
    </w:p>
    <w:p w14:paraId="356A2407" w14:textId="77777777" w:rsidR="0030019F" w:rsidRPr="0030019F" w:rsidRDefault="0030019F" w:rsidP="0030019F">
      <w:r w:rsidRPr="0030019F">
        <w:t>Well, thanks Neil, for your great comments and insights regarding this increasingly complex area of ADC deployment for hormone receptor–positive, HER2-negative disease. I think it's great to see new agents moving along with slightly different chemical structures. In the future, we're going to see even more opportunities with new antibody targets and totally non-overlapping chemotherapy payloads. I also think we have a lot to learn about combining ADC agents with other classes of drugs. And you can imagine, as we see in triple-negative breast cancer, potential combinations with immune-directed agents, or even perhaps with other next-generation endocrine or targeted therapies.</w:t>
      </w:r>
    </w:p>
    <w:p w14:paraId="43F4F4FD" w14:textId="77777777" w:rsidR="0030019F" w:rsidRPr="0030019F" w:rsidRDefault="0030019F" w:rsidP="0030019F">
      <w:r w:rsidRPr="0030019F">
        <w:t>So, this is going to be an increasingly complex field. We need to rely on our translational efforts and biomarker development efforts to help guide clinicians. And of course, we're going to continue to make patient-centric decisions about which ADCs to deploy in any given situation based upon the potential magnitude of benefit, the risk profile, patient preference, medical comorbidities, and the large variety of other factors that we've been discussing all throughout our sessions. So, thanks again to the team for the invitation to talk, not just about this topic, but all of the sessions we've done. And thanks, Neil, for your great input throughout.</w:t>
      </w:r>
    </w:p>
    <w:p w14:paraId="27675C96" w14:textId="77777777" w:rsidR="0030019F" w:rsidRPr="0030019F" w:rsidRDefault="0030019F" w:rsidP="0030019F">
      <w:r w:rsidRPr="0030019F">
        <w:t>Neil Iyengar, MD:</w:t>
      </w:r>
    </w:p>
    <w:p w14:paraId="4357B5B1" w14:textId="77777777" w:rsidR="0030019F" w:rsidRPr="0030019F" w:rsidRDefault="0030019F" w:rsidP="0030019F">
      <w:r w:rsidRPr="0030019F">
        <w:t xml:space="preserve">Seth, I totally agree. I would just add we're seeing bispecific antibodies that are involved in the ADC compound novel payloads, novel linkers as well. And I think what's exciting about antibody–drug conjugates is that it offers multiple opportunities for innovation. Now, a lot of this innovation is still in clinical development right now, but I think there's much more to come. And we'll start to be able to validate a lot of these hypotheses in terms of resistance mechanisms and which part of the ADC is the most important to modulate in terms of </w:t>
      </w:r>
      <w:r w:rsidRPr="0030019F">
        <w:lastRenderedPageBreak/>
        <w:t>generating a treatment response. And then ultimately how this impacts resistance and impact sequencing. And I think we're going to continue to see that transformation with even newer ADCs coming down the pipeline, expanding the efficacy.</w:t>
      </w:r>
    </w:p>
    <w:p w14:paraId="16E220EB" w14:textId="77777777" w:rsidR="0030019F" w:rsidRPr="0030019F" w:rsidRDefault="0030019F" w:rsidP="0030019F">
      <w:r w:rsidRPr="0030019F">
        <w:t>I had a wonderful conversation. And I think we look forward to continuing this discussion as further data develops. But this has been a very exciting time in breast cancer therapeutics. And this discussion is highly relevant, not only to our current clinical practice, but what to expect in the future. Thank you for listening.</w:t>
      </w:r>
    </w:p>
    <w:p w14:paraId="7C159422" w14:textId="77777777" w:rsidR="0030019F" w:rsidRPr="0030019F" w:rsidRDefault="0030019F" w:rsidP="0030019F">
      <w:r w:rsidRPr="0030019F">
        <w:t>Podcast Moderator:</w:t>
      </w:r>
    </w:p>
    <w:p w14:paraId="62E0E877" w14:textId="77777777" w:rsidR="0030019F" w:rsidRPr="0030019F" w:rsidRDefault="0030019F" w:rsidP="0030019F">
      <w:r w:rsidRPr="0030019F">
        <w:t>Really interesting discussion, guys. It sounds like there's a lot of room for differentiation amongst antibody–drug conjugates within the space of breast cancer. And with that, we've made it to the end of our episode and to the end of our series. So I'd like to give a big thank you to my guests, Dr. Seth Wander and Dr. Neil Iyengar for joining us today and throughout the entire podcast series. You guys have been great helping our listeners gain valuable insights into emerging data and trends in HR-positive/HER2-negative breast cancer. I've learned so much. I'm sure our listeners have as well. And until we meet again</w:t>
      </w:r>
    </w:p>
    <w:p w14:paraId="52AFC423" w14:textId="77777777" w:rsidR="00C24B48" w:rsidRDefault="00C24B48"/>
    <w:sectPr w:rsidR="00C24B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19F"/>
    <w:rsid w:val="000277D9"/>
    <w:rsid w:val="00160194"/>
    <w:rsid w:val="0030019F"/>
    <w:rsid w:val="00812305"/>
    <w:rsid w:val="009D447B"/>
    <w:rsid w:val="00C24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A1282"/>
  <w15:chartTrackingRefBased/>
  <w15:docId w15:val="{AC1A56E0-B933-4AFB-8C57-C08BDE444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0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0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01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01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01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01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01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01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01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1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01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01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01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01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01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01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01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019F"/>
    <w:rPr>
      <w:rFonts w:eastAsiaTheme="majorEastAsia" w:cstheme="majorBidi"/>
      <w:color w:val="272727" w:themeColor="text1" w:themeTint="D8"/>
    </w:rPr>
  </w:style>
  <w:style w:type="paragraph" w:styleId="Title">
    <w:name w:val="Title"/>
    <w:basedOn w:val="Normal"/>
    <w:next w:val="Normal"/>
    <w:link w:val="TitleChar"/>
    <w:uiPriority w:val="10"/>
    <w:qFormat/>
    <w:rsid w:val="00300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01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01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01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019F"/>
    <w:pPr>
      <w:spacing w:before="160"/>
      <w:jc w:val="center"/>
    </w:pPr>
    <w:rPr>
      <w:i/>
      <w:iCs/>
      <w:color w:val="404040" w:themeColor="text1" w:themeTint="BF"/>
    </w:rPr>
  </w:style>
  <w:style w:type="character" w:customStyle="1" w:styleId="QuoteChar">
    <w:name w:val="Quote Char"/>
    <w:basedOn w:val="DefaultParagraphFont"/>
    <w:link w:val="Quote"/>
    <w:uiPriority w:val="29"/>
    <w:rsid w:val="0030019F"/>
    <w:rPr>
      <w:i/>
      <w:iCs/>
      <w:color w:val="404040" w:themeColor="text1" w:themeTint="BF"/>
    </w:rPr>
  </w:style>
  <w:style w:type="paragraph" w:styleId="ListParagraph">
    <w:name w:val="List Paragraph"/>
    <w:basedOn w:val="Normal"/>
    <w:uiPriority w:val="34"/>
    <w:qFormat/>
    <w:rsid w:val="0030019F"/>
    <w:pPr>
      <w:ind w:left="720"/>
      <w:contextualSpacing/>
    </w:pPr>
  </w:style>
  <w:style w:type="character" w:styleId="IntenseEmphasis">
    <w:name w:val="Intense Emphasis"/>
    <w:basedOn w:val="DefaultParagraphFont"/>
    <w:uiPriority w:val="21"/>
    <w:qFormat/>
    <w:rsid w:val="0030019F"/>
    <w:rPr>
      <w:i/>
      <w:iCs/>
      <w:color w:val="0F4761" w:themeColor="accent1" w:themeShade="BF"/>
    </w:rPr>
  </w:style>
  <w:style w:type="paragraph" w:styleId="IntenseQuote">
    <w:name w:val="Intense Quote"/>
    <w:basedOn w:val="Normal"/>
    <w:next w:val="Normal"/>
    <w:link w:val="IntenseQuoteChar"/>
    <w:uiPriority w:val="30"/>
    <w:qFormat/>
    <w:rsid w:val="00300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019F"/>
    <w:rPr>
      <w:i/>
      <w:iCs/>
      <w:color w:val="0F4761" w:themeColor="accent1" w:themeShade="BF"/>
    </w:rPr>
  </w:style>
  <w:style w:type="character" w:styleId="IntenseReference">
    <w:name w:val="Intense Reference"/>
    <w:basedOn w:val="DefaultParagraphFont"/>
    <w:uiPriority w:val="32"/>
    <w:qFormat/>
    <w:rsid w:val="0030019F"/>
    <w:rPr>
      <w:b/>
      <w:bCs/>
      <w:smallCaps/>
      <w:color w:val="0F4761" w:themeColor="accent1" w:themeShade="BF"/>
      <w:spacing w:val="5"/>
    </w:rPr>
  </w:style>
  <w:style w:type="paragraph" w:styleId="Revision">
    <w:name w:val="Revision"/>
    <w:hidden/>
    <w:uiPriority w:val="99"/>
    <w:semiHidden/>
    <w:rsid w:val="003001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D3B99B593B03488EE4F17EC3915500" ma:contentTypeVersion="21" ma:contentTypeDescription="Create a new document." ma:contentTypeScope="" ma:versionID="4a43889dd6784bcc6f502aa52e1d4534">
  <xsd:schema xmlns:xsd="http://www.w3.org/2001/XMLSchema" xmlns:xs="http://www.w3.org/2001/XMLSchema" xmlns:p="http://schemas.microsoft.com/office/2006/metadata/properties" xmlns:ns2="73880f1c-9030-4fc3-ae91-9c598c094142" xmlns:ns3="6d1dde86-196c-4bcc-9560-feab4a4d52ca" targetNamespace="http://schemas.microsoft.com/office/2006/metadata/properties" ma:root="true" ma:fieldsID="ec022ef145e571d2da369c1f75f87958" ns2:_="" ns3:_="">
    <xsd:import namespace="73880f1c-9030-4fc3-ae91-9c598c094142"/>
    <xsd:import namespace="6d1dde86-196c-4bcc-9560-feab4a4d5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YES_x002f_NO" minOccurs="0"/>
                <xsd:element ref="ns2:MediaServiceSearchProperties" minOccurs="0"/>
                <xsd:element ref="ns2:DocumentDescrip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80f1c-9030-4fc3-ae91-9c598c094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82e0c1-59fc-4f79-b4ac-29e829bef9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YES_x002f_NO" ma:index="24" nillable="true" ma:displayName="YES/NO" ma:default="1" ma:description="Formatted" ma:format="Dropdown" ma:internalName="YES_x002f_NO">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umentDescription" ma:index="26" nillable="true" ma:displayName="Document Description" ma:format="Dropdown" ma:internalName="DocumentDescription">
      <xsd:simpleType>
        <xsd:restriction base="dms:Text">
          <xsd:maxLength value="255"/>
        </xsd:restriction>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dde86-196c-4bcc-9560-feab4a4d5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2a1ec13-31e6-415c-8ed0-cb8bb0eab1bf}" ma:internalName="TaxCatchAll" ma:showField="CatchAllData" ma:web="6d1dde86-196c-4bcc-9560-feab4a4d52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S_x002f_NO xmlns="73880f1c-9030-4fc3-ae91-9c598c094142">true</YES_x002f_NO>
    <TaxCatchAll xmlns="6d1dde86-196c-4bcc-9560-feab4a4d52ca" xsi:nil="true"/>
    <DocumentDescription xmlns="73880f1c-9030-4fc3-ae91-9c598c094142" xsi:nil="true"/>
    <lcf76f155ced4ddcb4097134ff3c332f xmlns="73880f1c-9030-4fc3-ae91-9c598c094142">
      <Terms xmlns="http://schemas.microsoft.com/office/infopath/2007/PartnerControls"/>
    </lcf76f155ced4ddcb4097134ff3c332f>
    <NOTES xmlns="73880f1c-9030-4fc3-ae91-9c598c094142" xsi:nil="true"/>
  </documentManagement>
</p:properties>
</file>

<file path=customXml/itemProps1.xml><?xml version="1.0" encoding="utf-8"?>
<ds:datastoreItem xmlns:ds="http://schemas.openxmlformats.org/officeDocument/2006/customXml" ds:itemID="{B739A84B-AF7D-42A6-83A2-1F3BFBC5E5D2}"/>
</file>

<file path=customXml/itemProps2.xml><?xml version="1.0" encoding="utf-8"?>
<ds:datastoreItem xmlns:ds="http://schemas.openxmlformats.org/officeDocument/2006/customXml" ds:itemID="{1429817A-0243-4519-BBA2-011D8214A11B}"/>
</file>

<file path=customXml/itemProps3.xml><?xml version="1.0" encoding="utf-8"?>
<ds:datastoreItem xmlns:ds="http://schemas.openxmlformats.org/officeDocument/2006/customXml" ds:itemID="{9307CDC2-7740-442D-8A44-86B3DF80B56D}"/>
</file>

<file path=docProps/app.xml><?xml version="1.0" encoding="utf-8"?>
<Properties xmlns="http://schemas.openxmlformats.org/officeDocument/2006/extended-properties" xmlns:vt="http://schemas.openxmlformats.org/officeDocument/2006/docPropsVTypes">
  <Template>Normal</Template>
  <TotalTime>1</TotalTime>
  <Pages>5</Pages>
  <Words>1734</Words>
  <Characters>9885</Characters>
  <Application>Microsoft Office Word</Application>
  <DocSecurity>4</DocSecurity>
  <Lines>82</Lines>
  <Paragraphs>23</Paragraphs>
  <ScaleCrop>false</ScaleCrop>
  <Company>Amplity Health</Company>
  <LinksUpToDate>false</LinksUpToDate>
  <CharactersWithSpaces>11596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Kerbel</dc:creator>
  <cp:keywords/>
  <dc:description/>
  <cp:lastModifiedBy>Katherine Cilwa</cp:lastModifiedBy>
  <cp:revision>2</cp:revision>
  <dcterms:created xsi:type="dcterms:W3CDTF">2026-02-17T15:52:00Z</dcterms:created>
  <dcterms:modified xsi:type="dcterms:W3CDTF">2026-02-17T15:52:00Z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0x010100B2D3B99B593B03488EE4F17EC3915500</vt:lpwstr>
  </property>
</Properties>
</file>